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A29" w:rsidRPr="004C3CAC" w:rsidRDefault="004C3CAC" w:rsidP="004C3CAC">
      <w:pPr>
        <w:spacing w:after="120" w:line="240" w:lineRule="auto"/>
        <w:jc w:val="right"/>
        <w:rPr>
          <w:rFonts w:ascii="Times New Roman" w:hAnsi="Times New Roman" w:cs="Times New Roman"/>
          <w:sz w:val="24"/>
          <w:szCs w:val="24"/>
        </w:rPr>
      </w:pPr>
      <w:r w:rsidRPr="004C3CAC">
        <w:rPr>
          <w:rFonts w:ascii="Times New Roman" w:hAnsi="Times New Roman" w:cs="Times New Roman"/>
          <w:sz w:val="24"/>
          <w:szCs w:val="24"/>
        </w:rPr>
        <w:t xml:space="preserve">Приложение к приказу </w:t>
      </w:r>
    </w:p>
    <w:p w:rsidR="004C3CAC" w:rsidRDefault="004C3CAC" w:rsidP="004C3CAC">
      <w:pPr>
        <w:spacing w:after="120" w:line="240" w:lineRule="auto"/>
        <w:jc w:val="right"/>
        <w:rPr>
          <w:rFonts w:ascii="Times New Roman" w:hAnsi="Times New Roman" w:cs="Times New Roman"/>
          <w:sz w:val="24"/>
          <w:szCs w:val="24"/>
        </w:rPr>
      </w:pPr>
      <w:r w:rsidRPr="004C3CAC">
        <w:rPr>
          <w:rFonts w:ascii="Times New Roman" w:hAnsi="Times New Roman" w:cs="Times New Roman"/>
          <w:sz w:val="24"/>
          <w:szCs w:val="24"/>
        </w:rPr>
        <w:t>№</w:t>
      </w:r>
      <w:r w:rsidR="00BA73CD">
        <w:rPr>
          <w:rFonts w:ascii="Times New Roman" w:hAnsi="Times New Roman" w:cs="Times New Roman"/>
          <w:sz w:val="24"/>
          <w:szCs w:val="24"/>
        </w:rPr>
        <w:t xml:space="preserve"> </w:t>
      </w:r>
      <w:r w:rsidR="003F0898">
        <w:rPr>
          <w:rFonts w:ascii="Times New Roman" w:hAnsi="Times New Roman" w:cs="Times New Roman"/>
          <w:sz w:val="24"/>
          <w:szCs w:val="24"/>
        </w:rPr>
        <w:t>44</w:t>
      </w:r>
      <w:r w:rsidR="00FE17F8">
        <w:rPr>
          <w:rFonts w:ascii="Times New Roman" w:hAnsi="Times New Roman" w:cs="Times New Roman"/>
          <w:sz w:val="24"/>
          <w:szCs w:val="24"/>
        </w:rPr>
        <w:t>/1</w:t>
      </w:r>
      <w:r w:rsidR="00B10796">
        <w:rPr>
          <w:rFonts w:ascii="Times New Roman" w:hAnsi="Times New Roman" w:cs="Times New Roman"/>
          <w:sz w:val="24"/>
          <w:szCs w:val="24"/>
        </w:rPr>
        <w:t>к</w:t>
      </w:r>
      <w:r w:rsidR="00F0244A">
        <w:rPr>
          <w:rFonts w:ascii="Times New Roman" w:hAnsi="Times New Roman" w:cs="Times New Roman"/>
          <w:sz w:val="24"/>
          <w:szCs w:val="24"/>
        </w:rPr>
        <w:t xml:space="preserve"> </w:t>
      </w:r>
      <w:r w:rsidRPr="004C3CAC">
        <w:rPr>
          <w:rFonts w:ascii="Times New Roman" w:hAnsi="Times New Roman" w:cs="Times New Roman"/>
          <w:sz w:val="24"/>
          <w:szCs w:val="24"/>
        </w:rPr>
        <w:t xml:space="preserve">от </w:t>
      </w:r>
      <w:r w:rsidR="003F0898">
        <w:rPr>
          <w:rFonts w:ascii="Times New Roman" w:hAnsi="Times New Roman" w:cs="Times New Roman"/>
          <w:sz w:val="24"/>
          <w:szCs w:val="24"/>
        </w:rPr>
        <w:t>03</w:t>
      </w:r>
      <w:r w:rsidR="00FE17F8">
        <w:rPr>
          <w:rFonts w:ascii="Times New Roman" w:hAnsi="Times New Roman" w:cs="Times New Roman"/>
          <w:sz w:val="24"/>
          <w:szCs w:val="24"/>
        </w:rPr>
        <w:t>.05</w:t>
      </w:r>
      <w:r w:rsidRPr="004C3CAC">
        <w:rPr>
          <w:rFonts w:ascii="Times New Roman" w:hAnsi="Times New Roman" w:cs="Times New Roman"/>
          <w:sz w:val="24"/>
          <w:szCs w:val="24"/>
        </w:rPr>
        <w:t>.2018</w:t>
      </w:r>
    </w:p>
    <w:p w:rsidR="002A372E" w:rsidRDefault="002A372E" w:rsidP="004C3CAC">
      <w:pPr>
        <w:spacing w:after="120" w:line="240" w:lineRule="auto"/>
        <w:rPr>
          <w:rFonts w:ascii="Times New Roman" w:hAnsi="Times New Roman" w:cs="Times New Roman"/>
          <w:sz w:val="24"/>
          <w:szCs w:val="24"/>
        </w:rPr>
      </w:pPr>
    </w:p>
    <w:p w:rsidR="004C3CAC" w:rsidRDefault="002A372E" w:rsidP="002A372E">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Изменения к учетной политике для целей бухгалтерского учета </w:t>
      </w:r>
      <w:r w:rsidR="00BA73CD">
        <w:rPr>
          <w:rFonts w:ascii="Times New Roman" w:hAnsi="Times New Roman" w:cs="Times New Roman"/>
          <w:sz w:val="24"/>
          <w:szCs w:val="24"/>
        </w:rPr>
        <w:t xml:space="preserve">(редакция </w:t>
      </w:r>
      <w:r>
        <w:rPr>
          <w:rFonts w:ascii="Times New Roman" w:hAnsi="Times New Roman" w:cs="Times New Roman"/>
          <w:sz w:val="24"/>
          <w:szCs w:val="24"/>
        </w:rPr>
        <w:t>2018 г.</w:t>
      </w:r>
      <w:r w:rsidR="00BA73CD">
        <w:rPr>
          <w:rFonts w:ascii="Times New Roman" w:hAnsi="Times New Roman" w:cs="Times New Roman"/>
          <w:sz w:val="24"/>
          <w:szCs w:val="24"/>
        </w:rPr>
        <w:t>)</w:t>
      </w:r>
    </w:p>
    <w:tbl>
      <w:tblPr>
        <w:tblStyle w:val="a3"/>
        <w:tblW w:w="0" w:type="auto"/>
        <w:tblLook w:val="04A0"/>
      </w:tblPr>
      <w:tblGrid>
        <w:gridCol w:w="1170"/>
        <w:gridCol w:w="4325"/>
        <w:gridCol w:w="4076"/>
      </w:tblGrid>
      <w:tr w:rsidR="002A372E" w:rsidTr="00BE0C5E">
        <w:tc>
          <w:tcPr>
            <w:tcW w:w="1170" w:type="dxa"/>
          </w:tcPr>
          <w:p w:rsidR="002A372E" w:rsidRDefault="0047095F" w:rsidP="002A372E">
            <w:pPr>
              <w:spacing w:after="120"/>
              <w:rPr>
                <w:rFonts w:ascii="Times New Roman" w:hAnsi="Times New Roman" w:cs="Times New Roman"/>
                <w:sz w:val="24"/>
                <w:szCs w:val="24"/>
              </w:rPr>
            </w:pPr>
            <w:r>
              <w:rPr>
                <w:rFonts w:ascii="Times New Roman" w:hAnsi="Times New Roman" w:cs="Times New Roman"/>
                <w:sz w:val="24"/>
                <w:szCs w:val="24"/>
              </w:rPr>
              <w:t>пункт в учетной политике</w:t>
            </w:r>
          </w:p>
        </w:tc>
        <w:tc>
          <w:tcPr>
            <w:tcW w:w="4325" w:type="dxa"/>
          </w:tcPr>
          <w:p w:rsidR="002A372E" w:rsidRDefault="00BA73CD" w:rsidP="00BA73CD">
            <w:pPr>
              <w:spacing w:after="120"/>
              <w:rPr>
                <w:rFonts w:ascii="Times New Roman" w:hAnsi="Times New Roman" w:cs="Times New Roman"/>
                <w:sz w:val="24"/>
                <w:szCs w:val="24"/>
              </w:rPr>
            </w:pPr>
            <w:r>
              <w:rPr>
                <w:rFonts w:ascii="Times New Roman" w:hAnsi="Times New Roman" w:cs="Times New Roman"/>
                <w:sz w:val="24"/>
                <w:szCs w:val="24"/>
              </w:rPr>
              <w:t>Было</w:t>
            </w:r>
          </w:p>
        </w:tc>
        <w:tc>
          <w:tcPr>
            <w:tcW w:w="4076" w:type="dxa"/>
          </w:tcPr>
          <w:p w:rsidR="002A372E" w:rsidRDefault="00BA73CD" w:rsidP="002A372E">
            <w:pPr>
              <w:spacing w:after="120"/>
              <w:rPr>
                <w:rFonts w:ascii="Times New Roman" w:hAnsi="Times New Roman" w:cs="Times New Roman"/>
                <w:sz w:val="24"/>
                <w:szCs w:val="24"/>
              </w:rPr>
            </w:pPr>
            <w:r>
              <w:rPr>
                <w:rFonts w:ascii="Times New Roman" w:hAnsi="Times New Roman" w:cs="Times New Roman"/>
                <w:sz w:val="24"/>
                <w:szCs w:val="24"/>
              </w:rPr>
              <w:t>Стало</w:t>
            </w:r>
          </w:p>
        </w:tc>
      </w:tr>
      <w:tr w:rsidR="002A372E" w:rsidTr="00BE0C5E">
        <w:tc>
          <w:tcPr>
            <w:tcW w:w="1170" w:type="dxa"/>
          </w:tcPr>
          <w:p w:rsidR="002A372E" w:rsidRDefault="00BE0C5E" w:rsidP="002A372E">
            <w:pPr>
              <w:spacing w:after="120"/>
              <w:rPr>
                <w:rFonts w:ascii="Times New Roman" w:hAnsi="Times New Roman" w:cs="Times New Roman"/>
                <w:sz w:val="24"/>
                <w:szCs w:val="24"/>
              </w:rPr>
            </w:pPr>
            <w:r w:rsidRPr="00BE0C5E">
              <w:rPr>
                <w:rFonts w:ascii="Times New Roman" w:hAnsi="Times New Roman" w:cs="Times New Roman"/>
                <w:sz w:val="24"/>
                <w:szCs w:val="24"/>
              </w:rPr>
              <w:t>3.10.1. </w:t>
            </w:r>
          </w:p>
        </w:tc>
        <w:tc>
          <w:tcPr>
            <w:tcW w:w="4325" w:type="dxa"/>
          </w:tcPr>
          <w:p w:rsidR="002A372E" w:rsidRDefault="00BE0C5E" w:rsidP="002A372E">
            <w:pPr>
              <w:spacing w:after="120"/>
              <w:rPr>
                <w:rFonts w:ascii="Times New Roman" w:hAnsi="Times New Roman" w:cs="Times New Roman"/>
                <w:sz w:val="24"/>
                <w:szCs w:val="24"/>
              </w:rPr>
            </w:pPr>
            <w:r w:rsidRPr="00BE0C5E">
              <w:rPr>
                <w:rFonts w:ascii="Times New Roman" w:hAnsi="Times New Roman" w:cs="Times New Roman"/>
                <w:sz w:val="24"/>
                <w:szCs w:val="24"/>
              </w:rPr>
              <w:t>Ввод в эксплуатацию объектов основных сре</w:t>
            </w:r>
            <w:proofErr w:type="gramStart"/>
            <w:r w:rsidRPr="00BE0C5E">
              <w:rPr>
                <w:rFonts w:ascii="Times New Roman" w:hAnsi="Times New Roman" w:cs="Times New Roman"/>
                <w:sz w:val="24"/>
                <w:szCs w:val="24"/>
              </w:rPr>
              <w:t>дств ст</w:t>
            </w:r>
            <w:proofErr w:type="gramEnd"/>
            <w:r w:rsidRPr="00BE0C5E">
              <w:rPr>
                <w:rFonts w:ascii="Times New Roman" w:hAnsi="Times New Roman" w:cs="Times New Roman"/>
                <w:sz w:val="24"/>
                <w:szCs w:val="24"/>
              </w:rPr>
              <w:t>оимостью до 3 000 руб. включительно отражается в учете на основании Акта о списании объектов нефинансовых активов (кроме транспортных средств) (ф. 0504104)</w:t>
            </w:r>
          </w:p>
        </w:tc>
        <w:tc>
          <w:tcPr>
            <w:tcW w:w="4076" w:type="dxa"/>
          </w:tcPr>
          <w:p w:rsidR="002A372E" w:rsidRDefault="00BE0C5E" w:rsidP="00BE0C5E">
            <w:pPr>
              <w:spacing w:after="120"/>
              <w:rPr>
                <w:rFonts w:ascii="Times New Roman" w:hAnsi="Times New Roman" w:cs="Times New Roman"/>
                <w:sz w:val="24"/>
                <w:szCs w:val="24"/>
              </w:rPr>
            </w:pPr>
            <w:r w:rsidRPr="00BE0C5E">
              <w:rPr>
                <w:rFonts w:ascii="Times New Roman" w:hAnsi="Times New Roman" w:cs="Times New Roman"/>
                <w:sz w:val="24"/>
                <w:szCs w:val="24"/>
              </w:rPr>
              <w:t>Ввод в эксплуатацию объектов основных сре</w:t>
            </w:r>
            <w:proofErr w:type="gramStart"/>
            <w:r w:rsidRPr="00BE0C5E">
              <w:rPr>
                <w:rFonts w:ascii="Times New Roman" w:hAnsi="Times New Roman" w:cs="Times New Roman"/>
                <w:sz w:val="24"/>
                <w:szCs w:val="24"/>
              </w:rPr>
              <w:t>дств ст</w:t>
            </w:r>
            <w:proofErr w:type="gramEnd"/>
            <w:r w:rsidRPr="00BE0C5E">
              <w:rPr>
                <w:rFonts w:ascii="Times New Roman" w:hAnsi="Times New Roman" w:cs="Times New Roman"/>
                <w:sz w:val="24"/>
                <w:szCs w:val="24"/>
              </w:rPr>
              <w:t>оимостью до 10 000 руб. включительно отражается в учете на основании Акта о списании объектов нефинансовых активов (кроме транспортных средств) (ф. 0504104)</w:t>
            </w:r>
          </w:p>
        </w:tc>
      </w:tr>
      <w:tr w:rsidR="002A372E" w:rsidTr="00BE0C5E">
        <w:tc>
          <w:tcPr>
            <w:tcW w:w="1170" w:type="dxa"/>
          </w:tcPr>
          <w:p w:rsidR="002A372E" w:rsidRDefault="00BE0C5E" w:rsidP="002A372E">
            <w:pPr>
              <w:spacing w:after="120"/>
              <w:rPr>
                <w:rFonts w:ascii="Times New Roman" w:hAnsi="Times New Roman" w:cs="Times New Roman"/>
                <w:sz w:val="24"/>
                <w:szCs w:val="24"/>
              </w:rPr>
            </w:pPr>
            <w:r>
              <w:rPr>
                <w:rFonts w:ascii="Times New Roman" w:hAnsi="Times New Roman" w:cs="Times New Roman"/>
                <w:sz w:val="24"/>
                <w:szCs w:val="24"/>
              </w:rPr>
              <w:t>15.1</w:t>
            </w:r>
          </w:p>
        </w:tc>
        <w:tc>
          <w:tcPr>
            <w:tcW w:w="4325" w:type="dxa"/>
          </w:tcPr>
          <w:p w:rsidR="002A372E" w:rsidRDefault="00BE0C5E" w:rsidP="002A372E">
            <w:pPr>
              <w:spacing w:after="120"/>
              <w:rPr>
                <w:rFonts w:ascii="Times New Roman" w:hAnsi="Times New Roman" w:cs="Times New Roman"/>
                <w:sz w:val="24"/>
                <w:szCs w:val="24"/>
              </w:rPr>
            </w:pPr>
            <w:r w:rsidRPr="00BE0C5E">
              <w:rPr>
                <w:rFonts w:ascii="Times New Roman" w:hAnsi="Times New Roman" w:cs="Times New Roman"/>
                <w:sz w:val="24"/>
                <w:szCs w:val="24"/>
              </w:rPr>
              <w:t>счет 21 "Основные средства стоимостью до 3 000 рублей включительно в эксплуатации";</w:t>
            </w:r>
          </w:p>
        </w:tc>
        <w:tc>
          <w:tcPr>
            <w:tcW w:w="4076" w:type="dxa"/>
          </w:tcPr>
          <w:p w:rsidR="002A372E" w:rsidRDefault="00BE0C5E" w:rsidP="00BE0C5E">
            <w:pPr>
              <w:spacing w:after="120"/>
              <w:rPr>
                <w:rFonts w:ascii="Times New Roman" w:hAnsi="Times New Roman" w:cs="Times New Roman"/>
                <w:sz w:val="24"/>
                <w:szCs w:val="24"/>
              </w:rPr>
            </w:pPr>
            <w:r w:rsidRPr="00BE0C5E">
              <w:rPr>
                <w:rFonts w:ascii="Times New Roman" w:hAnsi="Times New Roman" w:cs="Times New Roman"/>
                <w:sz w:val="24"/>
                <w:szCs w:val="24"/>
              </w:rPr>
              <w:t>счет 21 "Основные средства стоимостью до 10 000 рублей включительно в эксплуатации";</w:t>
            </w:r>
          </w:p>
        </w:tc>
      </w:tr>
    </w:tbl>
    <w:p w:rsidR="002A372E" w:rsidRDefault="002A372E" w:rsidP="002A372E">
      <w:pPr>
        <w:spacing w:after="120" w:line="240" w:lineRule="auto"/>
        <w:rPr>
          <w:rFonts w:ascii="Times New Roman" w:hAnsi="Times New Roman" w:cs="Times New Roman"/>
          <w:sz w:val="24"/>
          <w:szCs w:val="24"/>
        </w:rPr>
      </w:pPr>
    </w:p>
    <w:p w:rsidR="00C977A3" w:rsidRPr="00C977A3" w:rsidRDefault="00C977A3" w:rsidP="00C977A3">
      <w:pPr>
        <w:rPr>
          <w:rFonts w:ascii="Times New Roman" w:hAnsi="Times New Roman" w:cs="Times New Roman"/>
          <w:sz w:val="24"/>
          <w:szCs w:val="24"/>
        </w:rPr>
      </w:pPr>
      <w:r>
        <w:rPr>
          <w:rFonts w:ascii="Times New Roman" w:hAnsi="Times New Roman" w:cs="Times New Roman"/>
          <w:sz w:val="24"/>
          <w:szCs w:val="24"/>
        </w:rPr>
        <w:t>п.1.3. дополнить</w:t>
      </w:r>
      <w:r w:rsidRPr="00C977A3">
        <w:rPr>
          <w:rFonts w:ascii="Times New Roman" w:hAnsi="Times New Roman" w:cs="Times New Roman"/>
          <w:sz w:val="24"/>
          <w:szCs w:val="24"/>
        </w:rPr>
        <w:t>: Аналитический учет также обеспечивается путем дополнительной детализации операций по статьям КОСГУ 120 "Доходы от собственности", 130 "Доходы от оказания платных услуг", 140 "Суммы принудительного изъятия", 180 "Прочие доходы", 290 "Прочие расходы" в рамках третьего разряда кода.</w:t>
      </w:r>
    </w:p>
    <w:p w:rsidR="00C977A3" w:rsidRDefault="00C977A3" w:rsidP="002A372E">
      <w:pPr>
        <w:spacing w:after="120" w:line="240" w:lineRule="auto"/>
        <w:rPr>
          <w:rFonts w:ascii="Times New Roman" w:hAnsi="Times New Roman" w:cs="Times New Roman"/>
          <w:sz w:val="24"/>
          <w:szCs w:val="24"/>
        </w:rPr>
      </w:pPr>
    </w:p>
    <w:p w:rsidR="00555A6E" w:rsidRDefault="00555A6E" w:rsidP="00555A6E">
      <w:pPr>
        <w:spacing w:after="120" w:line="240" w:lineRule="auto"/>
        <w:rPr>
          <w:rFonts w:ascii="Times New Roman" w:hAnsi="Times New Roman" w:cs="Times New Roman"/>
          <w:sz w:val="24"/>
          <w:szCs w:val="24"/>
        </w:rPr>
      </w:pPr>
      <w:r>
        <w:rPr>
          <w:rFonts w:ascii="Times New Roman" w:hAnsi="Times New Roman" w:cs="Times New Roman"/>
          <w:sz w:val="24"/>
          <w:szCs w:val="24"/>
        </w:rPr>
        <w:t>Изменения в приложении к учетной политике для целей бухгалтерского учета (редакция 2018 г.)</w:t>
      </w:r>
    </w:p>
    <w:p w:rsidR="00555A6E" w:rsidRDefault="00555A6E" w:rsidP="00555A6E">
      <w:pPr>
        <w:spacing w:after="120" w:line="240" w:lineRule="auto"/>
        <w:rPr>
          <w:rFonts w:ascii="Times New Roman" w:hAnsi="Times New Roman" w:cs="Times New Roman"/>
          <w:sz w:val="24"/>
          <w:szCs w:val="24"/>
        </w:rPr>
      </w:pPr>
      <w:r>
        <w:rPr>
          <w:rFonts w:ascii="Times New Roman" w:hAnsi="Times New Roman" w:cs="Times New Roman"/>
          <w:sz w:val="24"/>
          <w:szCs w:val="24"/>
        </w:rPr>
        <w:t>Приложение №1.</w:t>
      </w:r>
    </w:p>
    <w:p w:rsidR="00555A6E" w:rsidRDefault="00555A6E" w:rsidP="00555A6E">
      <w:pPr>
        <w:spacing w:after="120" w:line="240" w:lineRule="auto"/>
        <w:rPr>
          <w:rFonts w:ascii="Times New Roman" w:hAnsi="Times New Roman" w:cs="Times New Roman"/>
          <w:sz w:val="24"/>
          <w:szCs w:val="24"/>
        </w:rPr>
      </w:pPr>
      <w:r>
        <w:rPr>
          <w:rFonts w:ascii="Times New Roman" w:hAnsi="Times New Roman" w:cs="Times New Roman"/>
          <w:sz w:val="24"/>
          <w:szCs w:val="24"/>
        </w:rPr>
        <w:t>Было</w:t>
      </w:r>
      <w:r w:rsidR="00CC711F">
        <w:rPr>
          <w:rFonts w:ascii="Times New Roman" w:hAnsi="Times New Roman" w:cs="Times New Roman"/>
          <w:sz w:val="24"/>
          <w:szCs w:val="24"/>
        </w:rPr>
        <w:t>:</w:t>
      </w:r>
    </w:p>
    <w:tbl>
      <w:tblPr>
        <w:tblW w:w="98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gridCol w:w="960"/>
        <w:gridCol w:w="1954"/>
        <w:gridCol w:w="1566"/>
        <w:gridCol w:w="3480"/>
      </w:tblGrid>
      <w:tr w:rsidR="00555A6E" w:rsidRPr="00555A6E" w:rsidTr="00AD3A9C">
        <w:trPr>
          <w:trHeight w:val="315"/>
        </w:trPr>
        <w:tc>
          <w:tcPr>
            <w:tcW w:w="960" w:type="dxa"/>
            <w:shd w:val="clear" w:color="auto" w:fill="auto"/>
            <w:hideMark/>
          </w:tcPr>
          <w:p w:rsidR="00555A6E" w:rsidRPr="00555A6E" w:rsidRDefault="00555A6E" w:rsidP="00555A6E">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1 0 1</w:t>
            </w:r>
          </w:p>
        </w:tc>
        <w:tc>
          <w:tcPr>
            <w:tcW w:w="960" w:type="dxa"/>
            <w:shd w:val="clear" w:color="auto" w:fill="auto"/>
            <w:hideMark/>
          </w:tcPr>
          <w:p w:rsidR="00555A6E" w:rsidRPr="00555A6E" w:rsidRDefault="00555A6E" w:rsidP="00555A6E">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0</w:t>
            </w:r>
          </w:p>
        </w:tc>
        <w:tc>
          <w:tcPr>
            <w:tcW w:w="960" w:type="dxa"/>
            <w:shd w:val="clear" w:color="auto" w:fill="auto"/>
            <w:hideMark/>
          </w:tcPr>
          <w:p w:rsidR="00555A6E" w:rsidRPr="00555A6E" w:rsidRDefault="00555A6E" w:rsidP="00555A6E">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2</w:t>
            </w:r>
          </w:p>
        </w:tc>
        <w:tc>
          <w:tcPr>
            <w:tcW w:w="3520" w:type="dxa"/>
            <w:gridSpan w:val="2"/>
            <w:shd w:val="clear" w:color="auto" w:fill="auto"/>
            <w:hideMark/>
          </w:tcPr>
          <w:p w:rsidR="00555A6E" w:rsidRPr="00555A6E" w:rsidRDefault="00555A6E" w:rsidP="00555A6E">
            <w:pPr>
              <w:spacing w:after="0" w:line="240" w:lineRule="auto"/>
              <w:jc w:val="both"/>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 </w:t>
            </w:r>
          </w:p>
        </w:tc>
        <w:tc>
          <w:tcPr>
            <w:tcW w:w="3480" w:type="dxa"/>
            <w:shd w:val="clear" w:color="auto" w:fill="auto"/>
            <w:hideMark/>
          </w:tcPr>
          <w:p w:rsidR="00555A6E" w:rsidRPr="00555A6E" w:rsidRDefault="00555A6E" w:rsidP="00555A6E">
            <w:pPr>
              <w:spacing w:after="0" w:line="240" w:lineRule="auto"/>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Нежилые помещения</w:t>
            </w:r>
          </w:p>
        </w:tc>
      </w:tr>
      <w:tr w:rsidR="00CC711F" w:rsidRPr="00CC711F"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1 0 1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both"/>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Производственный и хозяйственный инвентарь</w:t>
            </w:r>
          </w:p>
        </w:tc>
      </w:tr>
      <w:tr w:rsidR="0037402F" w:rsidRPr="0037402F"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1 0 1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7</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both"/>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Библиотечный фонд</w:t>
            </w:r>
          </w:p>
        </w:tc>
      </w:tr>
      <w:tr w:rsidR="00241F7A" w:rsidRPr="00241F7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2</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both"/>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Амортизация нежилых помещений</w:t>
            </w:r>
          </w:p>
        </w:tc>
      </w:tr>
      <w:tr w:rsidR="00241F7A" w:rsidRPr="00241F7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3</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both"/>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Амортизация сооружений</w:t>
            </w:r>
          </w:p>
        </w:tc>
      </w:tr>
      <w:tr w:rsidR="003D6826" w:rsidRPr="003D6826"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both"/>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Амортизация производственного и хозяйственного инвентаря</w:t>
            </w:r>
          </w:p>
        </w:tc>
      </w:tr>
      <w:tr w:rsidR="003D6826" w:rsidRPr="003D6826"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7</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both"/>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Амортизация библиотечного фонда</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Default="00786BAA">
            <w:pPr>
              <w:jc w:val="center"/>
              <w:rPr>
                <w:rFonts w:ascii="Calibri" w:hAnsi="Calibri"/>
                <w:color w:val="000000"/>
              </w:rPr>
            </w:pPr>
            <w:r>
              <w:rPr>
                <w:rFonts w:ascii="Calibri" w:hAnsi="Calibri"/>
                <w:color w:val="000000"/>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Default="00786BAA">
            <w:pPr>
              <w:jc w:val="center"/>
              <w:rPr>
                <w:rFonts w:ascii="Calibri" w:hAnsi="Calibri"/>
                <w:color w:val="000000"/>
              </w:rPr>
            </w:pPr>
            <w:r>
              <w:rPr>
                <w:rFonts w:ascii="Calibri" w:hAnsi="Calibri"/>
                <w:color w:val="000000"/>
              </w:rPr>
              <w:t>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Default="00786BAA">
            <w:pPr>
              <w:jc w:val="center"/>
              <w:rPr>
                <w:rFonts w:ascii="Calibri" w:hAnsi="Calibri"/>
                <w:color w:val="000000"/>
              </w:rPr>
            </w:pPr>
            <w:r>
              <w:rPr>
                <w:rFonts w:ascii="Calibri" w:hAnsi="Calibri"/>
                <w:color w:val="000000"/>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Default="00786BAA">
            <w:pPr>
              <w:rPr>
                <w:rFonts w:ascii="Calibri" w:hAnsi="Calibri"/>
                <w:color w:val="000000"/>
              </w:rPr>
            </w:pPr>
            <w:r>
              <w:rPr>
                <w:rFonts w:ascii="Calibri" w:hAnsi="Calibri"/>
                <w:color w:val="000000"/>
              </w:rPr>
              <w:t>Расчеты по доходам от оказания платных работ, услуг</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Default="00786BAA">
            <w:pPr>
              <w:jc w:val="both"/>
              <w:rPr>
                <w:rFonts w:ascii="Calibri" w:hAnsi="Calibri"/>
                <w:color w:val="000000"/>
              </w:rPr>
            </w:pPr>
            <w:r>
              <w:rPr>
                <w:rFonts w:ascii="Calibri" w:hAnsi="Calibri"/>
                <w:color w:val="000000"/>
              </w:rPr>
              <w:t> </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Расчеты по суммам принудительного изъятия</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 </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lastRenderedPageBreak/>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Расчеты с плательщиками доходов от собственности</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Расчеты с плательщиками доходов от оказания платных работ, услуг</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Расчеты с плательщиками сумм принудительного изъятия</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Расчеты с плательщиками прочих доходов</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2 0 8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Расчеты с подотчетными лицами по оплате прочих расходов</w:t>
            </w:r>
          </w:p>
        </w:tc>
      </w:tr>
      <w:tr w:rsidR="004640E3" w:rsidRPr="004640E3"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jc w:val="center"/>
              <w:rPr>
                <w:rFonts w:ascii="Calibri" w:hAnsi="Calibri"/>
                <w:color w:val="000000"/>
              </w:rPr>
            </w:pPr>
            <w:r w:rsidRPr="004640E3">
              <w:rPr>
                <w:rFonts w:ascii="Calibri" w:hAnsi="Calibri"/>
                <w:color w:val="000000"/>
              </w:rPr>
              <w:t>3 0 2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jc w:val="center"/>
              <w:rPr>
                <w:rFonts w:ascii="Calibri" w:hAnsi="Calibri"/>
                <w:color w:val="000000"/>
              </w:rPr>
            </w:pPr>
            <w:r w:rsidRPr="004640E3">
              <w:rPr>
                <w:rFonts w:ascii="Calibri" w:hAnsi="Calibri"/>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jc w:val="center"/>
              <w:rPr>
                <w:rFonts w:ascii="Calibri" w:hAnsi="Calibri"/>
                <w:color w:val="000000"/>
              </w:rPr>
            </w:pPr>
            <w:r w:rsidRPr="004640E3">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rPr>
                <w:rFonts w:ascii="Calibri" w:hAnsi="Calibri"/>
                <w:color w:val="000000"/>
              </w:rPr>
            </w:pPr>
            <w:r w:rsidRPr="004640E3">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jc w:val="both"/>
              <w:rPr>
                <w:rFonts w:ascii="Calibri" w:hAnsi="Calibri"/>
                <w:color w:val="000000"/>
              </w:rPr>
            </w:pPr>
            <w:r w:rsidRPr="004640E3">
              <w:rPr>
                <w:rFonts w:ascii="Calibri" w:hAnsi="Calibri"/>
                <w:color w:val="000000"/>
              </w:rPr>
              <w:t>Расчеты по прочим расходам</w:t>
            </w:r>
          </w:p>
        </w:tc>
      </w:tr>
      <w:tr w:rsidR="00AD3A9C" w:rsidTr="00AD3A9C">
        <w:tblPrEx>
          <w:tblBorders>
            <w:insideH w:val="none" w:sz="0" w:space="0" w:color="auto"/>
          </w:tblBorders>
          <w:tblCellMar>
            <w:top w:w="102" w:type="dxa"/>
            <w:left w:w="62" w:type="dxa"/>
            <w:bottom w:w="102" w:type="dxa"/>
            <w:right w:w="62" w:type="dxa"/>
          </w:tblCellMar>
          <w:tblLook w:val="0000"/>
        </w:tblPrEx>
        <w:tc>
          <w:tcPr>
            <w:tcW w:w="4834" w:type="dxa"/>
            <w:gridSpan w:val="4"/>
            <w:tcBorders>
              <w:top w:val="single" w:sz="4" w:space="0" w:color="auto"/>
              <w:bottom w:val="single" w:sz="4" w:space="0" w:color="auto"/>
            </w:tcBorders>
          </w:tcPr>
          <w:p w:rsidR="00AD3A9C" w:rsidRDefault="00AD3A9C" w:rsidP="00411097">
            <w:pPr>
              <w:pStyle w:val="ConsPlusNormal"/>
            </w:pPr>
            <w:r>
              <w:t>Материальные ценности, принятые на хранение</w:t>
            </w:r>
          </w:p>
        </w:tc>
        <w:tc>
          <w:tcPr>
            <w:tcW w:w="5046" w:type="dxa"/>
            <w:gridSpan w:val="2"/>
            <w:tcBorders>
              <w:top w:val="single" w:sz="4" w:space="0" w:color="auto"/>
              <w:bottom w:val="single" w:sz="4" w:space="0" w:color="auto"/>
            </w:tcBorders>
          </w:tcPr>
          <w:p w:rsidR="00AD3A9C" w:rsidRDefault="00AD3A9C" w:rsidP="00411097">
            <w:pPr>
              <w:pStyle w:val="ConsPlusNormal"/>
              <w:jc w:val="center"/>
            </w:pPr>
            <w:r>
              <w:t>02</w:t>
            </w:r>
          </w:p>
        </w:tc>
      </w:tr>
      <w:tr w:rsidR="00AD3A9C" w:rsidTr="00AD3A9C">
        <w:tblPrEx>
          <w:tblBorders>
            <w:insideH w:val="none" w:sz="0" w:space="0" w:color="auto"/>
          </w:tblBorders>
          <w:tblCellMar>
            <w:top w:w="102" w:type="dxa"/>
            <w:left w:w="62" w:type="dxa"/>
            <w:bottom w:w="102" w:type="dxa"/>
            <w:right w:w="62" w:type="dxa"/>
          </w:tblCellMar>
          <w:tblLook w:val="0000"/>
        </w:tblPrEx>
        <w:tc>
          <w:tcPr>
            <w:tcW w:w="4834" w:type="dxa"/>
            <w:gridSpan w:val="4"/>
            <w:tcBorders>
              <w:top w:val="single" w:sz="4" w:space="0" w:color="auto"/>
              <w:bottom w:val="single" w:sz="4" w:space="0" w:color="auto"/>
            </w:tcBorders>
          </w:tcPr>
          <w:p w:rsidR="00AD3A9C" w:rsidRDefault="00AD3A9C" w:rsidP="00411097">
            <w:pPr>
              <w:pStyle w:val="ConsPlusNormal"/>
            </w:pPr>
            <w:r>
              <w:t>Основные средства стоимостью до 3000 рублей включительно в эксплуатации</w:t>
            </w:r>
          </w:p>
        </w:tc>
        <w:tc>
          <w:tcPr>
            <w:tcW w:w="5046" w:type="dxa"/>
            <w:gridSpan w:val="2"/>
            <w:tcBorders>
              <w:top w:val="single" w:sz="4" w:space="0" w:color="auto"/>
              <w:bottom w:val="single" w:sz="4" w:space="0" w:color="auto"/>
            </w:tcBorders>
          </w:tcPr>
          <w:p w:rsidR="00AD3A9C" w:rsidRDefault="00AD3A9C" w:rsidP="00411097">
            <w:pPr>
              <w:pStyle w:val="ConsPlusNormal"/>
              <w:jc w:val="center"/>
            </w:pPr>
            <w:r>
              <w:t>21</w:t>
            </w:r>
          </w:p>
        </w:tc>
      </w:tr>
    </w:tbl>
    <w:p w:rsidR="00555A6E" w:rsidRDefault="00555A6E" w:rsidP="00555A6E">
      <w:pPr>
        <w:spacing w:after="120" w:line="240" w:lineRule="auto"/>
        <w:rPr>
          <w:rFonts w:ascii="Times New Roman" w:hAnsi="Times New Roman" w:cs="Times New Roman"/>
          <w:sz w:val="24"/>
          <w:szCs w:val="24"/>
        </w:rPr>
      </w:pPr>
    </w:p>
    <w:p w:rsidR="00555A6E" w:rsidRDefault="00555A6E" w:rsidP="00555A6E">
      <w:pPr>
        <w:spacing w:after="120" w:line="240" w:lineRule="auto"/>
        <w:rPr>
          <w:rFonts w:ascii="Times New Roman" w:hAnsi="Times New Roman" w:cs="Times New Roman"/>
          <w:sz w:val="24"/>
          <w:szCs w:val="24"/>
        </w:rPr>
      </w:pPr>
      <w:r>
        <w:rPr>
          <w:rFonts w:ascii="Times New Roman" w:hAnsi="Times New Roman" w:cs="Times New Roman"/>
          <w:sz w:val="24"/>
          <w:szCs w:val="24"/>
        </w:rPr>
        <w:t>Стало:</w:t>
      </w:r>
    </w:p>
    <w:tbl>
      <w:tblPr>
        <w:tblW w:w="98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gridCol w:w="960"/>
        <w:gridCol w:w="1954"/>
        <w:gridCol w:w="1566"/>
        <w:gridCol w:w="3480"/>
      </w:tblGrid>
      <w:tr w:rsidR="00555A6E" w:rsidRPr="00555A6E" w:rsidTr="003D6826">
        <w:trPr>
          <w:trHeight w:val="315"/>
        </w:trPr>
        <w:tc>
          <w:tcPr>
            <w:tcW w:w="960" w:type="dxa"/>
            <w:shd w:val="clear" w:color="auto" w:fill="auto"/>
            <w:hideMark/>
          </w:tcPr>
          <w:p w:rsidR="00555A6E" w:rsidRPr="00555A6E" w:rsidRDefault="00555A6E" w:rsidP="003D6826">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1 0 1</w:t>
            </w:r>
          </w:p>
        </w:tc>
        <w:tc>
          <w:tcPr>
            <w:tcW w:w="960" w:type="dxa"/>
            <w:shd w:val="clear" w:color="auto" w:fill="auto"/>
            <w:hideMark/>
          </w:tcPr>
          <w:p w:rsidR="00555A6E" w:rsidRPr="00555A6E" w:rsidRDefault="00555A6E" w:rsidP="003D6826">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0</w:t>
            </w:r>
          </w:p>
        </w:tc>
        <w:tc>
          <w:tcPr>
            <w:tcW w:w="960" w:type="dxa"/>
            <w:shd w:val="clear" w:color="auto" w:fill="auto"/>
            <w:hideMark/>
          </w:tcPr>
          <w:p w:rsidR="00555A6E" w:rsidRPr="00555A6E" w:rsidRDefault="00555A6E" w:rsidP="003D6826">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2</w:t>
            </w:r>
          </w:p>
        </w:tc>
        <w:tc>
          <w:tcPr>
            <w:tcW w:w="3520" w:type="dxa"/>
            <w:gridSpan w:val="2"/>
            <w:shd w:val="clear" w:color="auto" w:fill="auto"/>
            <w:hideMark/>
          </w:tcPr>
          <w:p w:rsidR="00555A6E" w:rsidRPr="00555A6E" w:rsidRDefault="00555A6E" w:rsidP="003D6826">
            <w:pPr>
              <w:spacing w:after="0" w:line="240" w:lineRule="auto"/>
              <w:jc w:val="both"/>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 </w:t>
            </w:r>
          </w:p>
        </w:tc>
        <w:tc>
          <w:tcPr>
            <w:tcW w:w="3480" w:type="dxa"/>
            <w:shd w:val="clear" w:color="auto" w:fill="auto"/>
            <w:hideMark/>
          </w:tcPr>
          <w:p w:rsidR="00555A6E" w:rsidRPr="00555A6E" w:rsidRDefault="00555A6E" w:rsidP="003D6826">
            <w:pPr>
              <w:spacing w:after="0" w:line="240" w:lineRule="auto"/>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Нежилые помещения</w:t>
            </w:r>
            <w:r>
              <w:rPr>
                <w:rFonts w:ascii="Calibri" w:eastAsia="Times New Roman" w:hAnsi="Calibri" w:cs="Times New Roman"/>
                <w:color w:val="000000"/>
                <w:lang w:eastAsia="ru-RU"/>
              </w:rPr>
              <w:t xml:space="preserve"> (здания и сооружения)</w:t>
            </w:r>
          </w:p>
        </w:tc>
      </w:tr>
      <w:tr w:rsidR="00CC711F" w:rsidRPr="00CC711F" w:rsidTr="00CC711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1 0 1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both"/>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Инвентарь п</w:t>
            </w:r>
            <w:r w:rsidRPr="00CC711F">
              <w:rPr>
                <w:rFonts w:ascii="Calibri" w:eastAsia="Times New Roman" w:hAnsi="Calibri" w:cs="Times New Roman"/>
                <w:color w:val="000000"/>
                <w:lang w:eastAsia="ru-RU"/>
              </w:rPr>
              <w:t xml:space="preserve">роизводственный и хозяйственный </w:t>
            </w:r>
          </w:p>
        </w:tc>
      </w:tr>
      <w:tr w:rsidR="0037402F" w:rsidRPr="0037402F" w:rsidTr="0037402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1 0 1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7</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both"/>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Биологические ресурсы</w:t>
            </w:r>
          </w:p>
        </w:tc>
      </w:tr>
      <w:tr w:rsidR="00241F7A" w:rsidRPr="00241F7A" w:rsidTr="00241F7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2</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both"/>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Амортизация нежилых помещений</w:t>
            </w:r>
            <w:r>
              <w:rPr>
                <w:rFonts w:ascii="Calibri" w:eastAsia="Times New Roman" w:hAnsi="Calibri" w:cs="Times New Roman"/>
                <w:color w:val="000000"/>
                <w:lang w:eastAsia="ru-RU"/>
              </w:rPr>
              <w:t xml:space="preserve"> (зданий и сооружений)</w:t>
            </w:r>
          </w:p>
        </w:tc>
      </w:tr>
      <w:tr w:rsidR="00241F7A" w:rsidRPr="00241F7A" w:rsidTr="00241F7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3</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both"/>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 xml:space="preserve">Амортизация </w:t>
            </w:r>
            <w:r>
              <w:rPr>
                <w:rFonts w:ascii="Calibri" w:eastAsia="Times New Roman" w:hAnsi="Calibri" w:cs="Times New Roman"/>
                <w:color w:val="000000"/>
                <w:lang w:eastAsia="ru-RU"/>
              </w:rPr>
              <w:t>инвестиционной недвижимости</w:t>
            </w: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both"/>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xml:space="preserve">Амортизация </w:t>
            </w:r>
            <w:r>
              <w:rPr>
                <w:rFonts w:ascii="Calibri" w:eastAsia="Times New Roman" w:hAnsi="Calibri" w:cs="Times New Roman"/>
                <w:color w:val="000000"/>
                <w:lang w:eastAsia="ru-RU"/>
              </w:rPr>
              <w:t xml:space="preserve">инвентаря </w:t>
            </w:r>
            <w:r w:rsidRPr="003D6826">
              <w:rPr>
                <w:rFonts w:ascii="Calibri" w:eastAsia="Times New Roman" w:hAnsi="Calibri" w:cs="Times New Roman"/>
                <w:color w:val="000000"/>
                <w:lang w:eastAsia="ru-RU"/>
              </w:rPr>
              <w:t xml:space="preserve">производственного </w:t>
            </w:r>
            <w:r>
              <w:rPr>
                <w:rFonts w:ascii="Calibri" w:eastAsia="Times New Roman" w:hAnsi="Calibri" w:cs="Times New Roman"/>
                <w:color w:val="000000"/>
                <w:lang w:eastAsia="ru-RU"/>
              </w:rPr>
              <w:t>и</w:t>
            </w:r>
            <w:r w:rsidRPr="003D6826">
              <w:rPr>
                <w:rFonts w:ascii="Calibri" w:eastAsia="Times New Roman" w:hAnsi="Calibri" w:cs="Times New Roman"/>
                <w:color w:val="000000"/>
                <w:lang w:eastAsia="ru-RU"/>
              </w:rPr>
              <w:t xml:space="preserve"> хозяйственного </w:t>
            </w: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7</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both"/>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xml:space="preserve">Амортизация </w:t>
            </w:r>
            <w:r>
              <w:rPr>
                <w:rFonts w:ascii="Calibri" w:eastAsia="Times New Roman" w:hAnsi="Calibri" w:cs="Times New Roman"/>
                <w:color w:val="000000"/>
                <w:lang w:eastAsia="ru-RU"/>
              </w:rPr>
              <w:t>биологических ресурсов</w:t>
            </w: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111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both"/>
              <w:rPr>
                <w:rFonts w:ascii="Calibri" w:eastAsia="Times New Roman" w:hAnsi="Calibri" w:cs="Times New Roman"/>
                <w:color w:val="000000"/>
                <w:lang w:eastAsia="ru-RU"/>
              </w:rPr>
            </w:pPr>
            <w:r>
              <w:rPr>
                <w:rFonts w:ascii="Calibri" w:eastAsia="Times New Roman" w:hAnsi="Calibri" w:cs="Times New Roman"/>
                <w:color w:val="000000"/>
                <w:lang w:eastAsia="ru-RU"/>
              </w:rPr>
              <w:t>Права пользования нефинансовыми активами</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111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both"/>
              <w:rPr>
                <w:rFonts w:ascii="Calibri" w:eastAsia="Times New Roman" w:hAnsi="Calibri" w:cs="Times New Roman"/>
                <w:color w:val="000000"/>
                <w:lang w:eastAsia="ru-RU"/>
              </w:rPr>
            </w:pP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Права пользования жилыми помещениями</w:t>
            </w: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111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both"/>
              <w:rPr>
                <w:rFonts w:ascii="Calibri" w:eastAsia="Times New Roman" w:hAnsi="Calibri" w:cs="Times New Roman"/>
                <w:color w:val="000000"/>
                <w:lang w:eastAsia="ru-RU"/>
              </w:rPr>
            </w:pP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Права пользования машинами и оборудованием</w:t>
            </w: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111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both"/>
              <w:rPr>
                <w:rFonts w:ascii="Calibri" w:eastAsia="Times New Roman" w:hAnsi="Calibri" w:cs="Times New Roman"/>
                <w:color w:val="000000"/>
                <w:lang w:eastAsia="ru-RU"/>
              </w:rPr>
            </w:pP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Права пользования инвентарем производственным и хозяйственным</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rPr>
                <w:rFonts w:ascii="Calibri" w:eastAsia="Times New Roman" w:hAnsi="Calibri" w:cs="Times New Roman"/>
                <w:color w:val="000000"/>
                <w:lang w:eastAsia="ru-RU"/>
              </w:rPr>
            </w:pPr>
            <w:r>
              <w:t>Расчеты по доходам от оказания платных услуг (работ), компенсаций затрат</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lastRenderedPageBreak/>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t>Расчеты по суммам штрафов, пеней, неустоек, возмещений ущерба</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rsidRPr="00786BAA">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Расчеты по доходам от операционной аренды</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rsidRPr="00786BAA">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xml:space="preserve">Расчеты </w:t>
            </w:r>
            <w:r>
              <w:rPr>
                <w:rFonts w:ascii="Calibri" w:eastAsia="Times New Roman" w:hAnsi="Calibri" w:cs="Times New Roman"/>
                <w:color w:val="000000"/>
                <w:lang w:eastAsia="ru-RU"/>
              </w:rPr>
              <w:t xml:space="preserve">по доходам от оказания платных </w:t>
            </w:r>
            <w:r w:rsidRPr="00786BAA">
              <w:rPr>
                <w:rFonts w:ascii="Calibri" w:eastAsia="Times New Roman" w:hAnsi="Calibri" w:cs="Times New Roman"/>
                <w:color w:val="000000"/>
                <w:lang w:eastAsia="ru-RU"/>
              </w:rPr>
              <w:t xml:space="preserve"> услуг</w:t>
            </w:r>
            <w:r>
              <w:rPr>
                <w:rFonts w:ascii="Calibri" w:eastAsia="Times New Roman" w:hAnsi="Calibri" w:cs="Times New Roman"/>
                <w:color w:val="000000"/>
                <w:lang w:eastAsia="ru-RU"/>
              </w:rPr>
              <w:t xml:space="preserve"> (работ)</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rsidRPr="00786BAA">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xml:space="preserve">Расчеты </w:t>
            </w:r>
            <w:r>
              <w:rPr>
                <w:rFonts w:ascii="Calibri" w:eastAsia="Times New Roman" w:hAnsi="Calibri" w:cs="Times New Roman"/>
                <w:color w:val="000000"/>
                <w:lang w:eastAsia="ru-RU"/>
              </w:rPr>
              <w:t>по доходам от штрафных санкций за нарушение законодательства о закупках</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rsidRPr="00786BAA">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xml:space="preserve">Расчеты </w:t>
            </w:r>
            <w:r>
              <w:rPr>
                <w:rFonts w:ascii="Calibri" w:eastAsia="Times New Roman" w:hAnsi="Calibri" w:cs="Times New Roman"/>
                <w:color w:val="000000"/>
                <w:lang w:eastAsia="ru-RU"/>
              </w:rPr>
              <w:t>по невыясненным поступлениям</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rsidRPr="00786BAA">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4640E3">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xml:space="preserve">Расчеты с подотчетными лицами по </w:t>
            </w:r>
            <w:r w:rsidR="004640E3">
              <w:rPr>
                <w:rFonts w:ascii="Calibri" w:eastAsia="Times New Roman" w:hAnsi="Calibri" w:cs="Times New Roman"/>
                <w:color w:val="000000"/>
                <w:lang w:eastAsia="ru-RU"/>
              </w:rPr>
              <w:t xml:space="preserve">оплате пошлин и сборов </w:t>
            </w:r>
          </w:p>
        </w:tc>
      </w:tr>
      <w:tr w:rsidR="004640E3" w:rsidRPr="004640E3" w:rsidTr="004640E3">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center"/>
              <w:rPr>
                <w:rFonts w:ascii="Calibri" w:eastAsia="Times New Roman" w:hAnsi="Calibri" w:cs="Times New Roman"/>
                <w:color w:val="000000"/>
                <w:lang w:eastAsia="ru-RU"/>
              </w:rPr>
            </w:pPr>
            <w:r w:rsidRPr="004640E3">
              <w:rPr>
                <w:rFonts w:ascii="Calibri" w:eastAsia="Times New Roman" w:hAnsi="Calibri" w:cs="Times New Roman"/>
                <w:color w:val="000000"/>
                <w:lang w:eastAsia="ru-RU"/>
              </w:rPr>
              <w:t>3 0 2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center"/>
              <w:rPr>
                <w:rFonts w:ascii="Calibri" w:eastAsia="Times New Roman" w:hAnsi="Calibri" w:cs="Times New Roman"/>
                <w:color w:val="000000"/>
                <w:lang w:eastAsia="ru-RU"/>
              </w:rPr>
            </w:pPr>
            <w:r w:rsidRPr="004640E3">
              <w:rPr>
                <w:rFonts w:ascii="Calibri" w:eastAsia="Times New Roman" w:hAnsi="Calibri" w:cs="Times New Roman"/>
                <w:color w:val="000000"/>
                <w:lang w:eastAsia="ru-RU"/>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both"/>
            </w:pPr>
            <w:r w:rsidRPr="004640E3">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rPr>
                <w:rFonts w:ascii="Calibri" w:eastAsia="Times New Roman" w:hAnsi="Calibri" w:cs="Times New Roman"/>
                <w:color w:val="000000"/>
                <w:lang w:eastAsia="ru-RU"/>
              </w:rPr>
            </w:pPr>
            <w:r w:rsidRPr="004640E3">
              <w:rPr>
                <w:rFonts w:ascii="Calibri" w:eastAsia="Times New Roman" w:hAnsi="Calibri" w:cs="Times New Roman"/>
                <w:color w:val="000000"/>
                <w:lang w:eastAsia="ru-RU"/>
              </w:rPr>
              <w:t xml:space="preserve">Расчеты по </w:t>
            </w:r>
            <w:r>
              <w:rPr>
                <w:rFonts w:ascii="Calibri" w:eastAsia="Times New Roman" w:hAnsi="Calibri" w:cs="Times New Roman"/>
                <w:color w:val="000000"/>
                <w:lang w:eastAsia="ru-RU"/>
              </w:rPr>
              <w:t>штрафам за нарушение условий контрактов (договоров)</w:t>
            </w:r>
          </w:p>
        </w:tc>
      </w:tr>
      <w:tr w:rsidR="006F6AF2" w:rsidRPr="004640E3" w:rsidTr="004640E3">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Default="006F6AF2" w:rsidP="006F6AF2">
            <w:pPr>
              <w:jc w:val="center"/>
              <w:rPr>
                <w:rFonts w:ascii="Calibri" w:hAnsi="Calibri"/>
                <w:color w:val="000000"/>
              </w:rPr>
            </w:pPr>
            <w:r>
              <w:rPr>
                <w:rFonts w:ascii="Calibri" w:hAnsi="Calibri"/>
                <w:color w:val="000000"/>
              </w:rPr>
              <w:t>302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Default="006F6AF2" w:rsidP="006F6AF2">
            <w:pPr>
              <w:jc w:val="center"/>
              <w:rPr>
                <w:rFonts w:ascii="Calibri" w:hAnsi="Calibri"/>
                <w:color w:val="000000"/>
              </w:rPr>
            </w:pPr>
            <w:r>
              <w:rPr>
                <w:rFonts w:ascii="Calibri" w:hAnsi="Calibri"/>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Default="006F6AF2" w:rsidP="006F6AF2">
            <w:pPr>
              <w:jc w:val="center"/>
              <w:rPr>
                <w:rFonts w:ascii="Calibri" w:hAnsi="Calibri"/>
                <w:color w:val="000000"/>
              </w:rPr>
            </w:pPr>
            <w:r>
              <w:rPr>
                <w:rFonts w:ascii="Calibri" w:hAnsi="Calibri"/>
                <w:color w:val="000000"/>
              </w:rPr>
              <w:t>5</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F6AF2" w:rsidRPr="004640E3" w:rsidRDefault="006F6AF2" w:rsidP="006F6AF2">
            <w:pPr>
              <w:rPr>
                <w:rFonts w:ascii="Calibri" w:hAnsi="Calibri"/>
                <w:color w:val="000000"/>
              </w:rPr>
            </w:pP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6F6AF2" w:rsidRPr="004A2B42" w:rsidRDefault="006F6AF2" w:rsidP="006F6AF2">
            <w:pPr>
              <w:jc w:val="both"/>
              <w:rPr>
                <w:rFonts w:ascii="Calibri" w:hAnsi="Calibri"/>
                <w:color w:val="000000"/>
              </w:rPr>
            </w:pPr>
            <w:r w:rsidRPr="004A2B42">
              <w:rPr>
                <w:rFonts w:ascii="Calibri" w:hAnsi="Calibri"/>
                <w:color w:val="000000"/>
              </w:rPr>
              <w:t>Расчеты по другим экономическим санкциям</w:t>
            </w:r>
          </w:p>
        </w:tc>
      </w:tr>
      <w:tr w:rsidR="006F6AF2" w:rsidRPr="004640E3" w:rsidTr="004640E3">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4640E3" w:rsidRDefault="006F6AF2" w:rsidP="004640E3">
            <w:pPr>
              <w:spacing w:after="0" w:line="240" w:lineRule="auto"/>
              <w:jc w:val="center"/>
              <w:rPr>
                <w:rFonts w:ascii="Calibri" w:eastAsia="Times New Roman" w:hAnsi="Calibri" w:cs="Times New Roman"/>
                <w:color w:val="000000"/>
                <w:lang w:eastAsia="ru-RU"/>
              </w:rPr>
            </w:pPr>
            <w:r w:rsidRPr="004640E3">
              <w:rPr>
                <w:rFonts w:ascii="Calibri" w:eastAsia="Times New Roman" w:hAnsi="Calibri" w:cs="Times New Roman"/>
                <w:color w:val="000000"/>
                <w:lang w:eastAsia="ru-RU"/>
              </w:rPr>
              <w:t>3 0 2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4640E3" w:rsidRDefault="006F6AF2" w:rsidP="004640E3">
            <w:pPr>
              <w:spacing w:after="0" w:line="240" w:lineRule="auto"/>
              <w:jc w:val="center"/>
              <w:rPr>
                <w:rFonts w:ascii="Calibri" w:eastAsia="Times New Roman" w:hAnsi="Calibri" w:cs="Times New Roman"/>
                <w:color w:val="000000"/>
                <w:lang w:eastAsia="ru-RU"/>
              </w:rPr>
            </w:pPr>
            <w:r w:rsidRPr="004640E3">
              <w:rPr>
                <w:rFonts w:ascii="Calibri" w:eastAsia="Times New Roman" w:hAnsi="Calibri" w:cs="Times New Roman"/>
                <w:color w:val="000000"/>
                <w:lang w:eastAsia="ru-RU"/>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4640E3" w:rsidRDefault="006F6AF2" w:rsidP="004640E3">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F6AF2" w:rsidRPr="004640E3" w:rsidRDefault="006F6AF2" w:rsidP="004640E3">
            <w:pPr>
              <w:spacing w:after="0" w:line="240" w:lineRule="auto"/>
              <w:jc w:val="both"/>
            </w:pPr>
            <w:r w:rsidRPr="004640E3">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6F6AF2" w:rsidRPr="004640E3" w:rsidRDefault="006F6AF2" w:rsidP="004640E3">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Расчеты по иным расходам</w:t>
            </w:r>
          </w:p>
        </w:tc>
      </w:tr>
      <w:tr w:rsidR="006F6AF2" w:rsidRPr="00A34A91" w:rsidTr="00A34A9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A34A91">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A34A91">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A34A91">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A34A91">
            <w:pPr>
              <w:spacing w:after="0" w:line="240" w:lineRule="auto"/>
              <w:jc w:val="both"/>
            </w:pPr>
            <w:r w:rsidRPr="00A34A91">
              <w:t> </w:t>
            </w:r>
            <w:r>
              <w:t xml:space="preserve">Доходы финансового года,  предшествующего </w:t>
            </w:r>
            <w:proofErr w:type="gramStart"/>
            <w:r>
              <w:t>отчетному</w:t>
            </w:r>
            <w:proofErr w:type="gramEnd"/>
            <w:r>
              <w:t xml:space="preserve">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A34A91">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доходов</w:t>
            </w:r>
          </w:p>
        </w:tc>
      </w:tr>
      <w:tr w:rsidR="006F6AF2" w:rsidRPr="00A34A91" w:rsidTr="00A34A9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9</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A34A91">
            <w:pPr>
              <w:spacing w:after="0" w:line="240" w:lineRule="auto"/>
              <w:jc w:val="both"/>
            </w:pPr>
            <w:r w:rsidRPr="00A34A91">
              <w:t> </w:t>
            </w:r>
            <w:r>
              <w:t xml:space="preserve">Доходы прошлых финансовых лет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доходов</w:t>
            </w:r>
          </w:p>
        </w:tc>
      </w:tr>
      <w:tr w:rsidR="006F6AF2" w:rsidRPr="00A34A91" w:rsidTr="00A34A9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both"/>
            </w:pPr>
            <w:r>
              <w:t xml:space="preserve">Расходы финансового года, предшествующего </w:t>
            </w:r>
            <w:proofErr w:type="gramStart"/>
            <w:r>
              <w:t>отчетному</w:t>
            </w:r>
            <w:proofErr w:type="gramEnd"/>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A34A91">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расходов</w:t>
            </w:r>
          </w:p>
        </w:tc>
      </w:tr>
      <w:tr w:rsidR="006F6AF2" w:rsidRPr="00A34A91" w:rsidTr="00A34A9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9</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both"/>
            </w:pPr>
            <w:r>
              <w:t>Расходы прошлых финансовых лет</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расходов</w:t>
            </w:r>
          </w:p>
        </w:tc>
      </w:tr>
      <w:tr w:rsidR="006F6AF2" w:rsidRPr="00A34A91" w:rsidTr="00A34A9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both"/>
            </w:pPr>
            <w:r>
              <w:t xml:space="preserve">Доходы будущих периодов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доходов</w:t>
            </w:r>
          </w:p>
        </w:tc>
      </w:tr>
      <w:tr w:rsidR="006F6AF2" w:rsidRPr="00A34A91" w:rsidTr="00AD3A9C">
        <w:trPr>
          <w:trHeight w:val="289"/>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jc w:val="both"/>
            </w:pPr>
            <w:r>
              <w:t xml:space="preserve">Расходы будущих периодов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6F6AF2" w:rsidRPr="00A34A91" w:rsidRDefault="006F6AF2" w:rsidP="004C7649">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расходов</w:t>
            </w:r>
          </w:p>
        </w:tc>
      </w:tr>
      <w:tr w:rsidR="006F6AF2" w:rsidTr="00411097">
        <w:tblPrEx>
          <w:tblBorders>
            <w:insideH w:val="none" w:sz="0" w:space="0" w:color="auto"/>
          </w:tblBorders>
          <w:tblCellMar>
            <w:top w:w="102" w:type="dxa"/>
            <w:left w:w="62" w:type="dxa"/>
            <w:bottom w:w="102" w:type="dxa"/>
            <w:right w:w="62" w:type="dxa"/>
          </w:tblCellMar>
          <w:tblLook w:val="0000"/>
        </w:tblPrEx>
        <w:tc>
          <w:tcPr>
            <w:tcW w:w="4834" w:type="dxa"/>
            <w:gridSpan w:val="4"/>
            <w:tcBorders>
              <w:top w:val="single" w:sz="4" w:space="0" w:color="auto"/>
              <w:bottom w:val="single" w:sz="4" w:space="0" w:color="auto"/>
            </w:tcBorders>
          </w:tcPr>
          <w:p w:rsidR="006F6AF2" w:rsidRDefault="006F6AF2" w:rsidP="00411097">
            <w:pPr>
              <w:pStyle w:val="ConsPlusNormal"/>
            </w:pPr>
            <w:r>
              <w:t>Материальные ценности на хранении</w:t>
            </w:r>
          </w:p>
        </w:tc>
        <w:tc>
          <w:tcPr>
            <w:tcW w:w="5046" w:type="dxa"/>
            <w:gridSpan w:val="2"/>
            <w:tcBorders>
              <w:top w:val="single" w:sz="4" w:space="0" w:color="auto"/>
              <w:bottom w:val="single" w:sz="4" w:space="0" w:color="auto"/>
            </w:tcBorders>
          </w:tcPr>
          <w:p w:rsidR="006F6AF2" w:rsidRDefault="006F6AF2" w:rsidP="00411097">
            <w:pPr>
              <w:pStyle w:val="ConsPlusNormal"/>
              <w:jc w:val="center"/>
            </w:pPr>
            <w:r>
              <w:t>02</w:t>
            </w:r>
          </w:p>
        </w:tc>
      </w:tr>
      <w:tr w:rsidR="006F6AF2" w:rsidTr="00411097">
        <w:tblPrEx>
          <w:tblBorders>
            <w:insideH w:val="none" w:sz="0" w:space="0" w:color="auto"/>
          </w:tblBorders>
          <w:tblCellMar>
            <w:top w:w="102" w:type="dxa"/>
            <w:left w:w="62" w:type="dxa"/>
            <w:bottom w:w="102" w:type="dxa"/>
            <w:right w:w="62" w:type="dxa"/>
          </w:tblCellMar>
          <w:tblLook w:val="0000"/>
        </w:tblPrEx>
        <w:tc>
          <w:tcPr>
            <w:tcW w:w="4834" w:type="dxa"/>
            <w:gridSpan w:val="4"/>
            <w:tcBorders>
              <w:top w:val="single" w:sz="4" w:space="0" w:color="auto"/>
              <w:bottom w:val="single" w:sz="4" w:space="0" w:color="auto"/>
            </w:tcBorders>
          </w:tcPr>
          <w:p w:rsidR="006F6AF2" w:rsidRDefault="006F6AF2" w:rsidP="00411097">
            <w:pPr>
              <w:pStyle w:val="ConsPlusNormal"/>
            </w:pPr>
            <w:r>
              <w:t>Основные средства в эксплуатации</w:t>
            </w:r>
          </w:p>
        </w:tc>
        <w:tc>
          <w:tcPr>
            <w:tcW w:w="5046" w:type="dxa"/>
            <w:gridSpan w:val="2"/>
            <w:tcBorders>
              <w:top w:val="single" w:sz="4" w:space="0" w:color="auto"/>
              <w:bottom w:val="single" w:sz="4" w:space="0" w:color="auto"/>
            </w:tcBorders>
          </w:tcPr>
          <w:p w:rsidR="006F6AF2" w:rsidRDefault="006F6AF2" w:rsidP="00411097">
            <w:pPr>
              <w:pStyle w:val="ConsPlusNormal"/>
              <w:jc w:val="center"/>
            </w:pPr>
            <w:r>
              <w:t>21</w:t>
            </w:r>
          </w:p>
        </w:tc>
      </w:tr>
    </w:tbl>
    <w:p w:rsidR="00555A6E" w:rsidRDefault="00555A6E" w:rsidP="002A372E">
      <w:pPr>
        <w:spacing w:after="120" w:line="240" w:lineRule="auto"/>
        <w:rPr>
          <w:rFonts w:ascii="Times New Roman" w:hAnsi="Times New Roman" w:cs="Times New Roman"/>
          <w:sz w:val="24"/>
          <w:szCs w:val="24"/>
        </w:rPr>
      </w:pPr>
    </w:p>
    <w:p w:rsidR="00896F8C" w:rsidRDefault="00FE5D22" w:rsidP="002A372E">
      <w:pPr>
        <w:spacing w:after="120" w:line="240" w:lineRule="auto"/>
        <w:rPr>
          <w:rFonts w:ascii="Times New Roman" w:hAnsi="Times New Roman" w:cs="Times New Roman"/>
          <w:sz w:val="24"/>
          <w:szCs w:val="24"/>
        </w:rPr>
      </w:pPr>
      <w:r>
        <w:rPr>
          <w:rFonts w:ascii="Times New Roman" w:hAnsi="Times New Roman" w:cs="Times New Roman"/>
          <w:sz w:val="24"/>
          <w:szCs w:val="24"/>
        </w:rPr>
        <w:t>Изменения в приложении к учетной политике для целей бухгалтерского учета (редакция 2018 г.)</w:t>
      </w:r>
    </w:p>
    <w:p w:rsidR="00FE5D22" w:rsidRDefault="00FE5D22" w:rsidP="002A372E">
      <w:pPr>
        <w:spacing w:after="120" w:line="240" w:lineRule="auto"/>
        <w:rPr>
          <w:rFonts w:ascii="Times New Roman" w:hAnsi="Times New Roman" w:cs="Times New Roman"/>
          <w:sz w:val="24"/>
          <w:szCs w:val="24"/>
        </w:rPr>
      </w:pPr>
      <w:r>
        <w:rPr>
          <w:rFonts w:ascii="Times New Roman" w:hAnsi="Times New Roman" w:cs="Times New Roman"/>
          <w:sz w:val="24"/>
          <w:szCs w:val="24"/>
        </w:rPr>
        <w:t>Приложение №8.</w:t>
      </w:r>
    </w:p>
    <w:tbl>
      <w:tblPr>
        <w:tblStyle w:val="a3"/>
        <w:tblW w:w="0" w:type="auto"/>
        <w:tblLook w:val="04A0"/>
      </w:tblPr>
      <w:tblGrid>
        <w:gridCol w:w="1491"/>
        <w:gridCol w:w="4157"/>
        <w:gridCol w:w="3923"/>
      </w:tblGrid>
      <w:tr w:rsidR="00FE5D22" w:rsidTr="00FE5D22">
        <w:tc>
          <w:tcPr>
            <w:tcW w:w="1491" w:type="dxa"/>
          </w:tcPr>
          <w:p w:rsidR="00FE5D22" w:rsidRDefault="00FE5D22" w:rsidP="00FE5D22">
            <w:pPr>
              <w:spacing w:after="120"/>
              <w:rPr>
                <w:rFonts w:ascii="Times New Roman" w:hAnsi="Times New Roman" w:cs="Times New Roman"/>
                <w:sz w:val="24"/>
                <w:szCs w:val="24"/>
              </w:rPr>
            </w:pPr>
            <w:r>
              <w:rPr>
                <w:rFonts w:ascii="Times New Roman" w:hAnsi="Times New Roman" w:cs="Times New Roman"/>
                <w:sz w:val="24"/>
                <w:szCs w:val="24"/>
              </w:rPr>
              <w:t>пун</w:t>
            </w:r>
            <w:proofErr w:type="gramStart"/>
            <w:r>
              <w:rPr>
                <w:rFonts w:ascii="Times New Roman" w:hAnsi="Times New Roman" w:cs="Times New Roman"/>
                <w:sz w:val="24"/>
                <w:szCs w:val="24"/>
              </w:rPr>
              <w:t>кт в пр</w:t>
            </w:r>
            <w:proofErr w:type="gramEnd"/>
            <w:r>
              <w:rPr>
                <w:rFonts w:ascii="Times New Roman" w:hAnsi="Times New Roman" w:cs="Times New Roman"/>
                <w:sz w:val="24"/>
                <w:szCs w:val="24"/>
              </w:rPr>
              <w:t>иложении</w:t>
            </w:r>
          </w:p>
        </w:tc>
        <w:tc>
          <w:tcPr>
            <w:tcW w:w="4157" w:type="dxa"/>
          </w:tcPr>
          <w:p w:rsidR="00FE5D22" w:rsidRDefault="00FE5D22" w:rsidP="003D6826">
            <w:pPr>
              <w:spacing w:after="120"/>
              <w:rPr>
                <w:rFonts w:ascii="Times New Roman" w:hAnsi="Times New Roman" w:cs="Times New Roman"/>
                <w:sz w:val="24"/>
                <w:szCs w:val="24"/>
              </w:rPr>
            </w:pPr>
            <w:r>
              <w:rPr>
                <w:rFonts w:ascii="Times New Roman" w:hAnsi="Times New Roman" w:cs="Times New Roman"/>
                <w:sz w:val="24"/>
                <w:szCs w:val="24"/>
              </w:rPr>
              <w:t>Было</w:t>
            </w:r>
          </w:p>
        </w:tc>
        <w:tc>
          <w:tcPr>
            <w:tcW w:w="3923" w:type="dxa"/>
          </w:tcPr>
          <w:p w:rsidR="00FE5D22" w:rsidRDefault="00FE5D22" w:rsidP="003D6826">
            <w:pPr>
              <w:spacing w:after="120"/>
              <w:rPr>
                <w:rFonts w:ascii="Times New Roman" w:hAnsi="Times New Roman" w:cs="Times New Roman"/>
                <w:sz w:val="24"/>
                <w:szCs w:val="24"/>
              </w:rPr>
            </w:pPr>
            <w:r>
              <w:rPr>
                <w:rFonts w:ascii="Times New Roman" w:hAnsi="Times New Roman" w:cs="Times New Roman"/>
                <w:sz w:val="24"/>
                <w:szCs w:val="24"/>
              </w:rPr>
              <w:t>Стало</w:t>
            </w:r>
          </w:p>
        </w:tc>
      </w:tr>
      <w:tr w:rsidR="00FE5D22" w:rsidTr="00FE5D22">
        <w:tc>
          <w:tcPr>
            <w:tcW w:w="1491" w:type="dxa"/>
          </w:tcPr>
          <w:p w:rsidR="00FE5D22" w:rsidRDefault="00FE5D22" w:rsidP="002A372E">
            <w:pPr>
              <w:spacing w:after="120"/>
              <w:rPr>
                <w:rFonts w:ascii="Times New Roman" w:hAnsi="Times New Roman" w:cs="Times New Roman"/>
                <w:sz w:val="24"/>
                <w:szCs w:val="24"/>
              </w:rPr>
            </w:pPr>
            <w:r>
              <w:rPr>
                <w:rFonts w:ascii="Times New Roman" w:hAnsi="Times New Roman" w:cs="Times New Roman"/>
                <w:sz w:val="24"/>
                <w:szCs w:val="24"/>
              </w:rPr>
              <w:t>п.2.6.1</w:t>
            </w:r>
          </w:p>
        </w:tc>
        <w:tc>
          <w:tcPr>
            <w:tcW w:w="4157" w:type="dxa"/>
          </w:tcPr>
          <w:p w:rsidR="00FE5D22" w:rsidRPr="00FE5D22" w:rsidRDefault="00FE5D22" w:rsidP="00FE5D22">
            <w:pPr>
              <w:rPr>
                <w:rFonts w:ascii="Times New Roman" w:eastAsia="Calibri" w:hAnsi="Times New Roman" w:cs="Times New Roman"/>
                <w:sz w:val="24"/>
                <w:szCs w:val="24"/>
              </w:rPr>
            </w:pPr>
            <w:r w:rsidRPr="00FE5D22">
              <w:rPr>
                <w:rFonts w:ascii="Times New Roman" w:eastAsia="Calibri" w:hAnsi="Times New Roman" w:cs="Times New Roman"/>
                <w:sz w:val="24"/>
                <w:szCs w:val="24"/>
              </w:rPr>
              <w:t>Плановая инвентаризация основных средств, в том числе стоимостью до 3 000 рублей (</w:t>
            </w:r>
            <w:proofErr w:type="spellStart"/>
            <w:r w:rsidRPr="00FE5D22">
              <w:rPr>
                <w:rFonts w:ascii="Times New Roman" w:eastAsia="Calibri" w:hAnsi="Times New Roman" w:cs="Times New Roman"/>
                <w:sz w:val="24"/>
                <w:szCs w:val="24"/>
              </w:rPr>
              <w:t>забалансовый</w:t>
            </w:r>
            <w:proofErr w:type="spellEnd"/>
            <w:r w:rsidRPr="00FE5D22">
              <w:rPr>
                <w:rFonts w:ascii="Times New Roman" w:eastAsia="Calibri" w:hAnsi="Times New Roman" w:cs="Times New Roman"/>
                <w:sz w:val="24"/>
                <w:szCs w:val="24"/>
              </w:rPr>
              <w:t xml:space="preserve"> счет з21), перед составлением годовой отчетности производится не позднее 01 декабря текущего года.</w:t>
            </w:r>
          </w:p>
          <w:p w:rsidR="00FE5D22" w:rsidRDefault="00FE5D22" w:rsidP="002A372E">
            <w:pPr>
              <w:spacing w:after="120"/>
              <w:rPr>
                <w:rFonts w:ascii="Times New Roman" w:hAnsi="Times New Roman" w:cs="Times New Roman"/>
                <w:sz w:val="24"/>
                <w:szCs w:val="24"/>
              </w:rPr>
            </w:pPr>
          </w:p>
        </w:tc>
        <w:tc>
          <w:tcPr>
            <w:tcW w:w="3923" w:type="dxa"/>
          </w:tcPr>
          <w:p w:rsidR="00FE5D22" w:rsidRPr="00FE5D22" w:rsidRDefault="00FE5D22" w:rsidP="00FE5D22">
            <w:pPr>
              <w:rPr>
                <w:rFonts w:ascii="Times New Roman" w:eastAsia="Calibri" w:hAnsi="Times New Roman" w:cs="Times New Roman"/>
                <w:sz w:val="24"/>
                <w:szCs w:val="24"/>
              </w:rPr>
            </w:pPr>
            <w:r w:rsidRPr="00FE5D22">
              <w:rPr>
                <w:rFonts w:ascii="Times New Roman" w:eastAsia="Calibri" w:hAnsi="Times New Roman" w:cs="Times New Roman"/>
                <w:sz w:val="24"/>
                <w:szCs w:val="24"/>
              </w:rPr>
              <w:t xml:space="preserve">Плановая инвентаризация основных средств, в том числе стоимостью до </w:t>
            </w:r>
            <w:r>
              <w:rPr>
                <w:rFonts w:ascii="Times New Roman" w:hAnsi="Times New Roman" w:cs="Times New Roman"/>
                <w:sz w:val="24"/>
                <w:szCs w:val="24"/>
              </w:rPr>
              <w:t>10</w:t>
            </w:r>
            <w:r w:rsidRPr="00FE5D22">
              <w:rPr>
                <w:rFonts w:ascii="Times New Roman" w:eastAsia="Calibri" w:hAnsi="Times New Roman" w:cs="Times New Roman"/>
                <w:sz w:val="24"/>
                <w:szCs w:val="24"/>
              </w:rPr>
              <w:t xml:space="preserve"> 000 рублей (</w:t>
            </w:r>
            <w:proofErr w:type="spellStart"/>
            <w:r w:rsidRPr="00FE5D22">
              <w:rPr>
                <w:rFonts w:ascii="Times New Roman" w:eastAsia="Calibri" w:hAnsi="Times New Roman" w:cs="Times New Roman"/>
                <w:sz w:val="24"/>
                <w:szCs w:val="24"/>
              </w:rPr>
              <w:t>забалансовый</w:t>
            </w:r>
            <w:proofErr w:type="spellEnd"/>
            <w:r w:rsidRPr="00FE5D22">
              <w:rPr>
                <w:rFonts w:ascii="Times New Roman" w:eastAsia="Calibri" w:hAnsi="Times New Roman" w:cs="Times New Roman"/>
                <w:sz w:val="24"/>
                <w:szCs w:val="24"/>
              </w:rPr>
              <w:t xml:space="preserve"> счет з21), перед составлением годовой отчетности производится не позднее 01 декабря текущего года.</w:t>
            </w:r>
          </w:p>
          <w:p w:rsidR="00FE5D22" w:rsidRDefault="00FE5D22" w:rsidP="002A372E">
            <w:pPr>
              <w:spacing w:after="120"/>
              <w:rPr>
                <w:rFonts w:ascii="Times New Roman" w:hAnsi="Times New Roman" w:cs="Times New Roman"/>
                <w:sz w:val="24"/>
                <w:szCs w:val="24"/>
              </w:rPr>
            </w:pPr>
          </w:p>
        </w:tc>
      </w:tr>
    </w:tbl>
    <w:p w:rsidR="00FE5D22" w:rsidRDefault="00FE5D22" w:rsidP="002A372E">
      <w:pPr>
        <w:spacing w:after="120" w:line="240" w:lineRule="auto"/>
        <w:rPr>
          <w:rFonts w:ascii="Times New Roman" w:hAnsi="Times New Roman" w:cs="Times New Roman"/>
          <w:sz w:val="24"/>
          <w:szCs w:val="24"/>
        </w:rPr>
      </w:pPr>
    </w:p>
    <w:p w:rsidR="00411097" w:rsidRDefault="00411097" w:rsidP="00411097">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Изменения в приложении к учетной политике для целей бухгалтерского учета (редакция 2018 г.)</w:t>
      </w:r>
    </w:p>
    <w:p w:rsidR="00411097" w:rsidRDefault="00411097" w:rsidP="002A372E">
      <w:pPr>
        <w:spacing w:after="120" w:line="240" w:lineRule="auto"/>
        <w:rPr>
          <w:rFonts w:ascii="Times New Roman" w:hAnsi="Times New Roman" w:cs="Times New Roman"/>
          <w:sz w:val="24"/>
          <w:szCs w:val="24"/>
        </w:rPr>
      </w:pPr>
      <w:r>
        <w:rPr>
          <w:rFonts w:ascii="Times New Roman" w:hAnsi="Times New Roman" w:cs="Times New Roman"/>
          <w:sz w:val="24"/>
          <w:szCs w:val="24"/>
        </w:rPr>
        <w:t>Приложение №7</w:t>
      </w:r>
    </w:p>
    <w:tbl>
      <w:tblPr>
        <w:tblStyle w:val="a3"/>
        <w:tblW w:w="0" w:type="auto"/>
        <w:tblLook w:val="04A0"/>
      </w:tblPr>
      <w:tblGrid>
        <w:gridCol w:w="1491"/>
        <w:gridCol w:w="4157"/>
        <w:gridCol w:w="3923"/>
      </w:tblGrid>
      <w:tr w:rsidR="00411097" w:rsidTr="00411097">
        <w:tc>
          <w:tcPr>
            <w:tcW w:w="1491" w:type="dxa"/>
          </w:tcPr>
          <w:p w:rsidR="00411097" w:rsidRDefault="00411097" w:rsidP="00411097">
            <w:pPr>
              <w:spacing w:after="120"/>
              <w:rPr>
                <w:rFonts w:ascii="Times New Roman" w:hAnsi="Times New Roman" w:cs="Times New Roman"/>
                <w:sz w:val="24"/>
                <w:szCs w:val="24"/>
              </w:rPr>
            </w:pPr>
            <w:r>
              <w:rPr>
                <w:rFonts w:ascii="Times New Roman" w:hAnsi="Times New Roman" w:cs="Times New Roman"/>
                <w:sz w:val="24"/>
                <w:szCs w:val="24"/>
              </w:rPr>
              <w:t>пун</w:t>
            </w:r>
            <w:proofErr w:type="gramStart"/>
            <w:r>
              <w:rPr>
                <w:rFonts w:ascii="Times New Roman" w:hAnsi="Times New Roman" w:cs="Times New Roman"/>
                <w:sz w:val="24"/>
                <w:szCs w:val="24"/>
              </w:rPr>
              <w:t>кт в пр</w:t>
            </w:r>
            <w:proofErr w:type="gramEnd"/>
            <w:r>
              <w:rPr>
                <w:rFonts w:ascii="Times New Roman" w:hAnsi="Times New Roman" w:cs="Times New Roman"/>
                <w:sz w:val="24"/>
                <w:szCs w:val="24"/>
              </w:rPr>
              <w:t>иложении</w:t>
            </w:r>
          </w:p>
        </w:tc>
        <w:tc>
          <w:tcPr>
            <w:tcW w:w="4157" w:type="dxa"/>
          </w:tcPr>
          <w:p w:rsidR="00411097" w:rsidRDefault="00411097" w:rsidP="00411097">
            <w:pPr>
              <w:spacing w:after="120"/>
              <w:rPr>
                <w:rFonts w:ascii="Times New Roman" w:hAnsi="Times New Roman" w:cs="Times New Roman"/>
                <w:sz w:val="24"/>
                <w:szCs w:val="24"/>
              </w:rPr>
            </w:pPr>
            <w:r>
              <w:rPr>
                <w:rFonts w:ascii="Times New Roman" w:hAnsi="Times New Roman" w:cs="Times New Roman"/>
                <w:sz w:val="24"/>
                <w:szCs w:val="24"/>
              </w:rPr>
              <w:t>Было</w:t>
            </w:r>
          </w:p>
        </w:tc>
        <w:tc>
          <w:tcPr>
            <w:tcW w:w="3923" w:type="dxa"/>
          </w:tcPr>
          <w:p w:rsidR="00411097" w:rsidRDefault="00411097" w:rsidP="00411097">
            <w:pPr>
              <w:spacing w:after="120"/>
              <w:rPr>
                <w:rFonts w:ascii="Times New Roman" w:hAnsi="Times New Roman" w:cs="Times New Roman"/>
                <w:sz w:val="24"/>
                <w:szCs w:val="24"/>
              </w:rPr>
            </w:pPr>
            <w:r>
              <w:rPr>
                <w:rFonts w:ascii="Times New Roman" w:hAnsi="Times New Roman" w:cs="Times New Roman"/>
                <w:sz w:val="24"/>
                <w:szCs w:val="24"/>
              </w:rPr>
              <w:t>Стало</w:t>
            </w:r>
          </w:p>
        </w:tc>
      </w:tr>
      <w:tr w:rsidR="00411097" w:rsidTr="00411097">
        <w:tc>
          <w:tcPr>
            <w:tcW w:w="1491" w:type="dxa"/>
          </w:tcPr>
          <w:p w:rsidR="00411097" w:rsidRDefault="00411097" w:rsidP="00411097">
            <w:pPr>
              <w:spacing w:after="120"/>
              <w:rPr>
                <w:rFonts w:ascii="Times New Roman" w:hAnsi="Times New Roman" w:cs="Times New Roman"/>
                <w:sz w:val="24"/>
                <w:szCs w:val="24"/>
              </w:rPr>
            </w:pPr>
            <w:r>
              <w:rPr>
                <w:rFonts w:ascii="Times New Roman" w:hAnsi="Times New Roman" w:cs="Times New Roman"/>
                <w:sz w:val="24"/>
                <w:szCs w:val="24"/>
              </w:rPr>
              <w:t>п.2.17</w:t>
            </w:r>
          </w:p>
        </w:tc>
        <w:tc>
          <w:tcPr>
            <w:tcW w:w="4157" w:type="dxa"/>
          </w:tcPr>
          <w:p w:rsidR="00411097" w:rsidRPr="00411097" w:rsidRDefault="00411097" w:rsidP="00411097">
            <w:pPr>
              <w:pStyle w:val="a4"/>
              <w:rPr>
                <w:rFonts w:eastAsiaTheme="minorHAnsi"/>
                <w:lang w:eastAsia="en-US"/>
              </w:rPr>
            </w:pPr>
            <w:r w:rsidRPr="00411097">
              <w:rPr>
                <w:rFonts w:eastAsiaTheme="minorHAnsi"/>
                <w:lang w:eastAsia="en-US"/>
              </w:rPr>
              <w:t xml:space="preserve">Поступление объектов движимого имущества (в том числе отдельных видов </w:t>
            </w:r>
            <w:proofErr w:type="spellStart"/>
            <w:r w:rsidRPr="00411097">
              <w:rPr>
                <w:rFonts w:eastAsiaTheme="minorHAnsi"/>
                <w:lang w:eastAsia="en-US"/>
              </w:rPr>
              <w:t>непроизведенных</w:t>
            </w:r>
            <w:proofErr w:type="spellEnd"/>
            <w:r w:rsidRPr="00411097">
              <w:rPr>
                <w:rFonts w:eastAsiaTheme="minorHAnsi"/>
                <w:lang w:eastAsia="en-US"/>
              </w:rPr>
              <w:t xml:space="preserve"> активов), нематериальных активов по любым основаниям, </w:t>
            </w:r>
            <w:proofErr w:type="gramStart"/>
            <w:r w:rsidRPr="00411097">
              <w:rPr>
                <w:rFonts w:eastAsiaTheme="minorHAnsi"/>
                <w:lang w:eastAsia="en-US"/>
              </w:rPr>
              <w:t>кроме</w:t>
            </w:r>
            <w:proofErr w:type="gramEnd"/>
            <w:r w:rsidRPr="00411097">
              <w:rPr>
                <w:rFonts w:eastAsiaTheme="minorHAnsi"/>
                <w:lang w:eastAsia="en-US"/>
              </w:rPr>
              <w:t>:</w:t>
            </w:r>
          </w:p>
          <w:p w:rsidR="00411097" w:rsidRPr="00411097" w:rsidRDefault="00411097" w:rsidP="00411097">
            <w:pPr>
              <w:pStyle w:val="a4"/>
              <w:rPr>
                <w:rFonts w:eastAsiaTheme="minorHAnsi"/>
                <w:lang w:eastAsia="en-US"/>
              </w:rPr>
            </w:pPr>
            <w:r w:rsidRPr="00411097">
              <w:rPr>
                <w:rFonts w:eastAsiaTheme="minorHAnsi"/>
                <w:lang w:eastAsia="en-US"/>
              </w:rPr>
              <w:t>- объектов основных сре</w:t>
            </w:r>
            <w:proofErr w:type="gramStart"/>
            <w:r w:rsidRPr="00411097">
              <w:rPr>
                <w:rFonts w:eastAsiaTheme="minorHAnsi"/>
                <w:lang w:eastAsia="en-US"/>
              </w:rPr>
              <w:t>дств ст</w:t>
            </w:r>
            <w:proofErr w:type="gramEnd"/>
            <w:r w:rsidRPr="00411097">
              <w:rPr>
                <w:rFonts w:eastAsiaTheme="minorHAnsi"/>
                <w:lang w:eastAsia="en-US"/>
              </w:rPr>
              <w:t>оимостью до 3000 рублей включительно;</w:t>
            </w:r>
          </w:p>
          <w:p w:rsidR="00411097" w:rsidRPr="00411097" w:rsidRDefault="00411097" w:rsidP="00411097">
            <w:pPr>
              <w:pStyle w:val="a4"/>
              <w:rPr>
                <w:rFonts w:eastAsiaTheme="minorHAnsi"/>
                <w:lang w:eastAsia="en-US"/>
              </w:rPr>
            </w:pPr>
            <w:r w:rsidRPr="00411097">
              <w:rPr>
                <w:rFonts w:eastAsiaTheme="minorHAnsi"/>
                <w:lang w:eastAsia="en-US"/>
              </w:rPr>
              <w:t>- библиотечного фонда.</w:t>
            </w:r>
          </w:p>
          <w:p w:rsidR="00411097" w:rsidRDefault="00411097" w:rsidP="00411097">
            <w:pPr>
              <w:spacing w:after="120"/>
              <w:rPr>
                <w:rFonts w:ascii="Times New Roman" w:hAnsi="Times New Roman" w:cs="Times New Roman"/>
                <w:sz w:val="24"/>
                <w:szCs w:val="24"/>
              </w:rPr>
            </w:pPr>
            <w:r w:rsidRPr="00411097">
              <w:rPr>
                <w:rFonts w:ascii="Times New Roman" w:hAnsi="Times New Roman" w:cs="Times New Roman"/>
                <w:sz w:val="24"/>
                <w:szCs w:val="24"/>
              </w:rPr>
              <w:t xml:space="preserve">Поступление однородных групп объектов основных средств, нематериальных и </w:t>
            </w:r>
            <w:proofErr w:type="spellStart"/>
            <w:r w:rsidRPr="00411097">
              <w:rPr>
                <w:rFonts w:ascii="Times New Roman" w:hAnsi="Times New Roman" w:cs="Times New Roman"/>
                <w:sz w:val="24"/>
                <w:szCs w:val="24"/>
              </w:rPr>
              <w:t>непроизведенных</w:t>
            </w:r>
            <w:proofErr w:type="spellEnd"/>
            <w:r w:rsidRPr="00411097">
              <w:rPr>
                <w:rFonts w:ascii="Times New Roman" w:hAnsi="Times New Roman" w:cs="Times New Roman"/>
                <w:sz w:val="24"/>
                <w:szCs w:val="24"/>
              </w:rPr>
              <w:t xml:space="preserve"> активов по любым основаниям, кроме, объектов движимого имущества, стоимостью до 3000 руб. включительно.</w:t>
            </w:r>
          </w:p>
          <w:p w:rsidR="00411097" w:rsidRDefault="00411097" w:rsidP="00411097">
            <w:pPr>
              <w:spacing w:after="120"/>
              <w:rPr>
                <w:rFonts w:ascii="Times New Roman" w:hAnsi="Times New Roman" w:cs="Times New Roman"/>
                <w:sz w:val="24"/>
                <w:szCs w:val="24"/>
              </w:rPr>
            </w:pPr>
          </w:p>
          <w:p w:rsidR="00411097" w:rsidRDefault="00411097" w:rsidP="00411097">
            <w:pPr>
              <w:spacing w:after="120"/>
              <w:rPr>
                <w:rFonts w:ascii="Times New Roman" w:hAnsi="Times New Roman" w:cs="Times New Roman"/>
                <w:sz w:val="10"/>
                <w:szCs w:val="10"/>
              </w:rPr>
            </w:pPr>
          </w:p>
          <w:p w:rsidR="00411097" w:rsidRDefault="00411097" w:rsidP="00411097">
            <w:pPr>
              <w:spacing w:after="120"/>
              <w:rPr>
                <w:rFonts w:ascii="Times New Roman" w:hAnsi="Times New Roman" w:cs="Times New Roman"/>
                <w:sz w:val="2"/>
                <w:szCs w:val="4"/>
              </w:rPr>
            </w:pPr>
          </w:p>
          <w:p w:rsidR="00411097" w:rsidRDefault="00411097" w:rsidP="00411097">
            <w:pPr>
              <w:spacing w:after="120"/>
              <w:rPr>
                <w:rFonts w:ascii="Times New Roman" w:hAnsi="Times New Roman" w:cs="Times New Roman"/>
                <w:sz w:val="2"/>
                <w:szCs w:val="4"/>
              </w:rPr>
            </w:pPr>
          </w:p>
          <w:p w:rsidR="00411097" w:rsidRPr="00411097" w:rsidRDefault="00411097" w:rsidP="00411097">
            <w:pPr>
              <w:spacing w:after="120"/>
              <w:rPr>
                <w:rFonts w:ascii="Times New Roman" w:hAnsi="Times New Roman" w:cs="Times New Roman"/>
                <w:sz w:val="2"/>
                <w:szCs w:val="4"/>
              </w:rPr>
            </w:pPr>
          </w:p>
          <w:p w:rsidR="00411097" w:rsidRPr="00411097" w:rsidRDefault="00411097" w:rsidP="00411097">
            <w:pPr>
              <w:spacing w:after="120"/>
              <w:rPr>
                <w:rFonts w:ascii="Times New Roman" w:hAnsi="Times New Roman" w:cs="Times New Roman"/>
                <w:sz w:val="24"/>
                <w:szCs w:val="24"/>
              </w:rPr>
            </w:pPr>
            <w:r w:rsidRPr="00411097">
              <w:rPr>
                <w:rFonts w:ascii="Times New Roman" w:hAnsi="Times New Roman" w:cs="Times New Roman"/>
                <w:sz w:val="24"/>
                <w:szCs w:val="24"/>
              </w:rPr>
              <w:t>Поступление нефинансовых активов, включая:</w:t>
            </w:r>
          </w:p>
          <w:p w:rsidR="00411097" w:rsidRPr="00411097" w:rsidRDefault="00411097" w:rsidP="00411097">
            <w:pPr>
              <w:pStyle w:val="a4"/>
              <w:rPr>
                <w:rFonts w:eastAsiaTheme="minorHAnsi"/>
                <w:lang w:eastAsia="en-US"/>
              </w:rPr>
            </w:pPr>
            <w:r w:rsidRPr="00411097">
              <w:rPr>
                <w:rFonts w:eastAsiaTheme="minorHAnsi"/>
                <w:lang w:eastAsia="en-US"/>
              </w:rPr>
              <w:t>- объекты движимого имущества, стоимо</w:t>
            </w:r>
            <w:r>
              <w:rPr>
                <w:rFonts w:eastAsiaTheme="minorHAnsi"/>
                <w:lang w:eastAsia="en-US"/>
              </w:rPr>
              <w:t>стью до 3000 руб. включительно.</w:t>
            </w:r>
          </w:p>
          <w:p w:rsidR="00411097" w:rsidRDefault="00411097" w:rsidP="00411097">
            <w:pPr>
              <w:spacing w:after="120"/>
              <w:rPr>
                <w:rFonts w:ascii="Times New Roman" w:hAnsi="Times New Roman" w:cs="Times New Roman"/>
                <w:sz w:val="24"/>
                <w:szCs w:val="24"/>
              </w:rPr>
            </w:pPr>
          </w:p>
        </w:tc>
        <w:tc>
          <w:tcPr>
            <w:tcW w:w="3923" w:type="dxa"/>
          </w:tcPr>
          <w:p w:rsidR="00411097" w:rsidRPr="00411097" w:rsidRDefault="00411097" w:rsidP="00411097">
            <w:pPr>
              <w:pStyle w:val="a4"/>
              <w:rPr>
                <w:rFonts w:eastAsiaTheme="minorHAnsi"/>
                <w:lang w:eastAsia="en-US"/>
              </w:rPr>
            </w:pPr>
            <w:r w:rsidRPr="00411097">
              <w:rPr>
                <w:rFonts w:eastAsiaTheme="minorHAnsi"/>
                <w:lang w:eastAsia="en-US"/>
              </w:rPr>
              <w:t xml:space="preserve">Поступление объектов движимого имущества (в том числе отдельных видов </w:t>
            </w:r>
            <w:proofErr w:type="spellStart"/>
            <w:r w:rsidRPr="00411097">
              <w:rPr>
                <w:rFonts w:eastAsiaTheme="minorHAnsi"/>
                <w:lang w:eastAsia="en-US"/>
              </w:rPr>
              <w:t>непроизведенных</w:t>
            </w:r>
            <w:proofErr w:type="spellEnd"/>
            <w:r w:rsidRPr="00411097">
              <w:rPr>
                <w:rFonts w:eastAsiaTheme="minorHAnsi"/>
                <w:lang w:eastAsia="en-US"/>
              </w:rPr>
              <w:t xml:space="preserve"> активов), нематериальных активов по любым основаниям, </w:t>
            </w:r>
            <w:proofErr w:type="gramStart"/>
            <w:r w:rsidRPr="00411097">
              <w:rPr>
                <w:rFonts w:eastAsiaTheme="minorHAnsi"/>
                <w:lang w:eastAsia="en-US"/>
              </w:rPr>
              <w:t>кроме</w:t>
            </w:r>
            <w:proofErr w:type="gramEnd"/>
            <w:r w:rsidRPr="00411097">
              <w:rPr>
                <w:rFonts w:eastAsiaTheme="minorHAnsi"/>
                <w:lang w:eastAsia="en-US"/>
              </w:rPr>
              <w:t>:</w:t>
            </w:r>
          </w:p>
          <w:p w:rsidR="00411097" w:rsidRPr="00411097" w:rsidRDefault="00411097" w:rsidP="00411097">
            <w:pPr>
              <w:pStyle w:val="a4"/>
              <w:rPr>
                <w:rFonts w:eastAsiaTheme="minorHAnsi"/>
                <w:lang w:eastAsia="en-US"/>
              </w:rPr>
            </w:pPr>
            <w:r w:rsidRPr="00411097">
              <w:rPr>
                <w:rFonts w:eastAsiaTheme="minorHAnsi"/>
                <w:lang w:eastAsia="en-US"/>
              </w:rPr>
              <w:t>- объектов основных сре</w:t>
            </w:r>
            <w:proofErr w:type="gramStart"/>
            <w:r w:rsidRPr="00411097">
              <w:rPr>
                <w:rFonts w:eastAsiaTheme="minorHAnsi"/>
                <w:lang w:eastAsia="en-US"/>
              </w:rPr>
              <w:t>дств ст</w:t>
            </w:r>
            <w:proofErr w:type="gramEnd"/>
            <w:r w:rsidRPr="00411097">
              <w:rPr>
                <w:rFonts w:eastAsiaTheme="minorHAnsi"/>
                <w:lang w:eastAsia="en-US"/>
              </w:rPr>
              <w:t xml:space="preserve">оимостью до </w:t>
            </w:r>
            <w:r>
              <w:rPr>
                <w:rFonts w:eastAsiaTheme="minorHAnsi"/>
                <w:lang w:eastAsia="en-US"/>
              </w:rPr>
              <w:t xml:space="preserve">10 </w:t>
            </w:r>
            <w:r w:rsidRPr="00411097">
              <w:rPr>
                <w:rFonts w:eastAsiaTheme="minorHAnsi"/>
                <w:lang w:eastAsia="en-US"/>
              </w:rPr>
              <w:t>000 рублей включительно;</w:t>
            </w:r>
          </w:p>
          <w:p w:rsidR="00411097" w:rsidRPr="00411097" w:rsidRDefault="00411097" w:rsidP="00411097">
            <w:pPr>
              <w:pStyle w:val="a4"/>
              <w:rPr>
                <w:rFonts w:eastAsiaTheme="minorHAnsi"/>
                <w:lang w:eastAsia="en-US"/>
              </w:rPr>
            </w:pPr>
            <w:r w:rsidRPr="00411097">
              <w:rPr>
                <w:rFonts w:eastAsiaTheme="minorHAnsi"/>
                <w:lang w:eastAsia="en-US"/>
              </w:rPr>
              <w:t>- библиотечного фонда.</w:t>
            </w:r>
          </w:p>
          <w:p w:rsidR="00411097" w:rsidRDefault="00411097" w:rsidP="00411097">
            <w:pPr>
              <w:spacing w:after="120"/>
              <w:rPr>
                <w:rFonts w:ascii="Times New Roman" w:hAnsi="Times New Roman" w:cs="Times New Roman"/>
                <w:sz w:val="24"/>
                <w:szCs w:val="24"/>
              </w:rPr>
            </w:pPr>
            <w:r w:rsidRPr="00411097">
              <w:rPr>
                <w:rFonts w:ascii="Times New Roman" w:hAnsi="Times New Roman" w:cs="Times New Roman"/>
                <w:sz w:val="24"/>
                <w:szCs w:val="24"/>
              </w:rPr>
              <w:t xml:space="preserve">Поступление однородных групп объектов основных средств, нематериальных и </w:t>
            </w:r>
            <w:proofErr w:type="spellStart"/>
            <w:r w:rsidRPr="00411097">
              <w:rPr>
                <w:rFonts w:ascii="Times New Roman" w:hAnsi="Times New Roman" w:cs="Times New Roman"/>
                <w:sz w:val="24"/>
                <w:szCs w:val="24"/>
              </w:rPr>
              <w:t>непроизведенных</w:t>
            </w:r>
            <w:proofErr w:type="spellEnd"/>
            <w:r w:rsidRPr="00411097">
              <w:rPr>
                <w:rFonts w:ascii="Times New Roman" w:hAnsi="Times New Roman" w:cs="Times New Roman"/>
                <w:sz w:val="24"/>
                <w:szCs w:val="24"/>
              </w:rPr>
              <w:t xml:space="preserve"> активов по любым основаниям, кроме, объектов движимого имущества, стоимостью до </w:t>
            </w:r>
            <w:r>
              <w:rPr>
                <w:rFonts w:ascii="Times New Roman" w:hAnsi="Times New Roman" w:cs="Times New Roman"/>
                <w:sz w:val="24"/>
                <w:szCs w:val="24"/>
              </w:rPr>
              <w:t xml:space="preserve"> 10 </w:t>
            </w:r>
            <w:r w:rsidRPr="00411097">
              <w:rPr>
                <w:rFonts w:ascii="Times New Roman" w:hAnsi="Times New Roman" w:cs="Times New Roman"/>
                <w:sz w:val="24"/>
                <w:szCs w:val="24"/>
              </w:rPr>
              <w:t>000 руб. включительно.</w:t>
            </w:r>
          </w:p>
          <w:p w:rsidR="00411097" w:rsidRDefault="00411097" w:rsidP="00411097">
            <w:pPr>
              <w:pStyle w:val="a4"/>
              <w:rPr>
                <w:rFonts w:eastAsiaTheme="minorHAnsi"/>
                <w:lang w:eastAsia="en-US"/>
              </w:rPr>
            </w:pPr>
          </w:p>
          <w:p w:rsidR="00411097" w:rsidRPr="00411097" w:rsidRDefault="00411097" w:rsidP="00411097">
            <w:pPr>
              <w:pStyle w:val="a4"/>
              <w:rPr>
                <w:rFonts w:eastAsiaTheme="minorHAnsi"/>
                <w:lang w:eastAsia="en-US"/>
              </w:rPr>
            </w:pPr>
            <w:r w:rsidRPr="00411097">
              <w:rPr>
                <w:rFonts w:eastAsiaTheme="minorHAnsi"/>
                <w:lang w:eastAsia="en-US"/>
              </w:rPr>
              <w:t>Поступление нефинансовых активов, включая:</w:t>
            </w:r>
          </w:p>
          <w:p w:rsidR="00411097" w:rsidRPr="00411097" w:rsidRDefault="00411097" w:rsidP="00411097">
            <w:pPr>
              <w:pStyle w:val="a4"/>
              <w:rPr>
                <w:rFonts w:eastAsiaTheme="minorHAnsi"/>
                <w:lang w:eastAsia="en-US"/>
              </w:rPr>
            </w:pPr>
            <w:r w:rsidRPr="00411097">
              <w:rPr>
                <w:rFonts w:eastAsiaTheme="minorHAnsi"/>
                <w:lang w:eastAsia="en-US"/>
              </w:rPr>
              <w:t>- объекты движимого имущества, стоимо</w:t>
            </w:r>
            <w:r>
              <w:rPr>
                <w:rFonts w:eastAsiaTheme="minorHAnsi"/>
                <w:lang w:eastAsia="en-US"/>
              </w:rPr>
              <w:t>стью до 10000 руб. включительно.</w:t>
            </w:r>
          </w:p>
          <w:p w:rsidR="00411097" w:rsidRDefault="00411097" w:rsidP="00411097">
            <w:pPr>
              <w:spacing w:after="120"/>
              <w:rPr>
                <w:rFonts w:ascii="Times New Roman" w:hAnsi="Times New Roman" w:cs="Times New Roman"/>
                <w:sz w:val="24"/>
                <w:szCs w:val="24"/>
              </w:rPr>
            </w:pPr>
          </w:p>
        </w:tc>
      </w:tr>
    </w:tbl>
    <w:p w:rsidR="00411097" w:rsidRPr="004C3CAC" w:rsidRDefault="00411097" w:rsidP="002A372E">
      <w:pPr>
        <w:spacing w:after="120" w:line="240" w:lineRule="auto"/>
        <w:rPr>
          <w:rFonts w:ascii="Times New Roman" w:hAnsi="Times New Roman" w:cs="Times New Roman"/>
          <w:sz w:val="24"/>
          <w:szCs w:val="24"/>
        </w:rPr>
      </w:pPr>
    </w:p>
    <w:sectPr w:rsidR="00411097" w:rsidRPr="004C3CAC" w:rsidSect="00116A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3CAC"/>
    <w:rsid w:val="000462FC"/>
    <w:rsid w:val="000B27D8"/>
    <w:rsid w:val="00116A29"/>
    <w:rsid w:val="00241F7A"/>
    <w:rsid w:val="00260BF6"/>
    <w:rsid w:val="00266C6B"/>
    <w:rsid w:val="00282526"/>
    <w:rsid w:val="002A372E"/>
    <w:rsid w:val="002B7543"/>
    <w:rsid w:val="00302DDC"/>
    <w:rsid w:val="0037402F"/>
    <w:rsid w:val="00394D19"/>
    <w:rsid w:val="003D6826"/>
    <w:rsid w:val="003F0898"/>
    <w:rsid w:val="00411097"/>
    <w:rsid w:val="004640E3"/>
    <w:rsid w:val="0047095F"/>
    <w:rsid w:val="004A2B42"/>
    <w:rsid w:val="004C3CAC"/>
    <w:rsid w:val="004C434D"/>
    <w:rsid w:val="004C7649"/>
    <w:rsid w:val="00555A6E"/>
    <w:rsid w:val="00614AB3"/>
    <w:rsid w:val="00640838"/>
    <w:rsid w:val="006C0F4F"/>
    <w:rsid w:val="006F6AF2"/>
    <w:rsid w:val="007730F4"/>
    <w:rsid w:val="00786BAA"/>
    <w:rsid w:val="007D2C55"/>
    <w:rsid w:val="00896F8C"/>
    <w:rsid w:val="00926422"/>
    <w:rsid w:val="00961D30"/>
    <w:rsid w:val="00A34A91"/>
    <w:rsid w:val="00AD3A9C"/>
    <w:rsid w:val="00B10796"/>
    <w:rsid w:val="00BA73CD"/>
    <w:rsid w:val="00BE0C5E"/>
    <w:rsid w:val="00C977A3"/>
    <w:rsid w:val="00CC711F"/>
    <w:rsid w:val="00DF134B"/>
    <w:rsid w:val="00F0244A"/>
    <w:rsid w:val="00F416F8"/>
    <w:rsid w:val="00FD416B"/>
    <w:rsid w:val="00FE17F8"/>
    <w:rsid w:val="00FE5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A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D3A9C"/>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rsid w:val="004110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863888">
      <w:bodyDiv w:val="1"/>
      <w:marLeft w:val="0"/>
      <w:marRight w:val="0"/>
      <w:marTop w:val="0"/>
      <w:marBottom w:val="0"/>
      <w:divBdr>
        <w:top w:val="none" w:sz="0" w:space="0" w:color="auto"/>
        <w:left w:val="none" w:sz="0" w:space="0" w:color="auto"/>
        <w:bottom w:val="none" w:sz="0" w:space="0" w:color="auto"/>
        <w:right w:val="none" w:sz="0" w:space="0" w:color="auto"/>
      </w:divBdr>
    </w:div>
    <w:div w:id="160122784">
      <w:bodyDiv w:val="1"/>
      <w:marLeft w:val="0"/>
      <w:marRight w:val="0"/>
      <w:marTop w:val="0"/>
      <w:marBottom w:val="0"/>
      <w:divBdr>
        <w:top w:val="none" w:sz="0" w:space="0" w:color="auto"/>
        <w:left w:val="none" w:sz="0" w:space="0" w:color="auto"/>
        <w:bottom w:val="none" w:sz="0" w:space="0" w:color="auto"/>
        <w:right w:val="none" w:sz="0" w:space="0" w:color="auto"/>
      </w:divBdr>
    </w:div>
    <w:div w:id="338311886">
      <w:bodyDiv w:val="1"/>
      <w:marLeft w:val="0"/>
      <w:marRight w:val="0"/>
      <w:marTop w:val="0"/>
      <w:marBottom w:val="0"/>
      <w:divBdr>
        <w:top w:val="none" w:sz="0" w:space="0" w:color="auto"/>
        <w:left w:val="none" w:sz="0" w:space="0" w:color="auto"/>
        <w:bottom w:val="none" w:sz="0" w:space="0" w:color="auto"/>
        <w:right w:val="none" w:sz="0" w:space="0" w:color="auto"/>
      </w:divBdr>
    </w:div>
    <w:div w:id="353381471">
      <w:bodyDiv w:val="1"/>
      <w:marLeft w:val="0"/>
      <w:marRight w:val="0"/>
      <w:marTop w:val="0"/>
      <w:marBottom w:val="0"/>
      <w:divBdr>
        <w:top w:val="none" w:sz="0" w:space="0" w:color="auto"/>
        <w:left w:val="none" w:sz="0" w:space="0" w:color="auto"/>
        <w:bottom w:val="none" w:sz="0" w:space="0" w:color="auto"/>
        <w:right w:val="none" w:sz="0" w:space="0" w:color="auto"/>
      </w:divBdr>
    </w:div>
    <w:div w:id="487131191">
      <w:bodyDiv w:val="1"/>
      <w:marLeft w:val="0"/>
      <w:marRight w:val="0"/>
      <w:marTop w:val="0"/>
      <w:marBottom w:val="0"/>
      <w:divBdr>
        <w:top w:val="none" w:sz="0" w:space="0" w:color="auto"/>
        <w:left w:val="none" w:sz="0" w:space="0" w:color="auto"/>
        <w:bottom w:val="none" w:sz="0" w:space="0" w:color="auto"/>
        <w:right w:val="none" w:sz="0" w:space="0" w:color="auto"/>
      </w:divBdr>
    </w:div>
    <w:div w:id="565606151">
      <w:bodyDiv w:val="1"/>
      <w:marLeft w:val="0"/>
      <w:marRight w:val="0"/>
      <w:marTop w:val="0"/>
      <w:marBottom w:val="0"/>
      <w:divBdr>
        <w:top w:val="none" w:sz="0" w:space="0" w:color="auto"/>
        <w:left w:val="none" w:sz="0" w:space="0" w:color="auto"/>
        <w:bottom w:val="none" w:sz="0" w:space="0" w:color="auto"/>
        <w:right w:val="none" w:sz="0" w:space="0" w:color="auto"/>
      </w:divBdr>
    </w:div>
    <w:div w:id="721563592">
      <w:bodyDiv w:val="1"/>
      <w:marLeft w:val="0"/>
      <w:marRight w:val="0"/>
      <w:marTop w:val="0"/>
      <w:marBottom w:val="0"/>
      <w:divBdr>
        <w:top w:val="none" w:sz="0" w:space="0" w:color="auto"/>
        <w:left w:val="none" w:sz="0" w:space="0" w:color="auto"/>
        <w:bottom w:val="none" w:sz="0" w:space="0" w:color="auto"/>
        <w:right w:val="none" w:sz="0" w:space="0" w:color="auto"/>
      </w:divBdr>
    </w:div>
    <w:div w:id="793133819">
      <w:bodyDiv w:val="1"/>
      <w:marLeft w:val="0"/>
      <w:marRight w:val="0"/>
      <w:marTop w:val="0"/>
      <w:marBottom w:val="0"/>
      <w:divBdr>
        <w:top w:val="none" w:sz="0" w:space="0" w:color="auto"/>
        <w:left w:val="none" w:sz="0" w:space="0" w:color="auto"/>
        <w:bottom w:val="none" w:sz="0" w:space="0" w:color="auto"/>
        <w:right w:val="none" w:sz="0" w:space="0" w:color="auto"/>
      </w:divBdr>
    </w:div>
    <w:div w:id="822115047">
      <w:bodyDiv w:val="1"/>
      <w:marLeft w:val="0"/>
      <w:marRight w:val="0"/>
      <w:marTop w:val="0"/>
      <w:marBottom w:val="0"/>
      <w:divBdr>
        <w:top w:val="none" w:sz="0" w:space="0" w:color="auto"/>
        <w:left w:val="none" w:sz="0" w:space="0" w:color="auto"/>
        <w:bottom w:val="none" w:sz="0" w:space="0" w:color="auto"/>
        <w:right w:val="none" w:sz="0" w:space="0" w:color="auto"/>
      </w:divBdr>
    </w:div>
    <w:div w:id="1047490206">
      <w:bodyDiv w:val="1"/>
      <w:marLeft w:val="0"/>
      <w:marRight w:val="0"/>
      <w:marTop w:val="0"/>
      <w:marBottom w:val="0"/>
      <w:divBdr>
        <w:top w:val="none" w:sz="0" w:space="0" w:color="auto"/>
        <w:left w:val="none" w:sz="0" w:space="0" w:color="auto"/>
        <w:bottom w:val="none" w:sz="0" w:space="0" w:color="auto"/>
        <w:right w:val="none" w:sz="0" w:space="0" w:color="auto"/>
      </w:divBdr>
    </w:div>
    <w:div w:id="1093211859">
      <w:bodyDiv w:val="1"/>
      <w:marLeft w:val="0"/>
      <w:marRight w:val="0"/>
      <w:marTop w:val="0"/>
      <w:marBottom w:val="0"/>
      <w:divBdr>
        <w:top w:val="none" w:sz="0" w:space="0" w:color="auto"/>
        <w:left w:val="none" w:sz="0" w:space="0" w:color="auto"/>
        <w:bottom w:val="none" w:sz="0" w:space="0" w:color="auto"/>
        <w:right w:val="none" w:sz="0" w:space="0" w:color="auto"/>
      </w:divBdr>
    </w:div>
    <w:div w:id="1122114150">
      <w:bodyDiv w:val="1"/>
      <w:marLeft w:val="0"/>
      <w:marRight w:val="0"/>
      <w:marTop w:val="0"/>
      <w:marBottom w:val="0"/>
      <w:divBdr>
        <w:top w:val="none" w:sz="0" w:space="0" w:color="auto"/>
        <w:left w:val="none" w:sz="0" w:space="0" w:color="auto"/>
        <w:bottom w:val="none" w:sz="0" w:space="0" w:color="auto"/>
        <w:right w:val="none" w:sz="0" w:space="0" w:color="auto"/>
      </w:divBdr>
    </w:div>
    <w:div w:id="1172766761">
      <w:bodyDiv w:val="1"/>
      <w:marLeft w:val="0"/>
      <w:marRight w:val="0"/>
      <w:marTop w:val="0"/>
      <w:marBottom w:val="0"/>
      <w:divBdr>
        <w:top w:val="none" w:sz="0" w:space="0" w:color="auto"/>
        <w:left w:val="none" w:sz="0" w:space="0" w:color="auto"/>
        <w:bottom w:val="none" w:sz="0" w:space="0" w:color="auto"/>
        <w:right w:val="none" w:sz="0" w:space="0" w:color="auto"/>
      </w:divBdr>
    </w:div>
    <w:div w:id="1188720428">
      <w:bodyDiv w:val="1"/>
      <w:marLeft w:val="0"/>
      <w:marRight w:val="0"/>
      <w:marTop w:val="0"/>
      <w:marBottom w:val="0"/>
      <w:divBdr>
        <w:top w:val="none" w:sz="0" w:space="0" w:color="auto"/>
        <w:left w:val="none" w:sz="0" w:space="0" w:color="auto"/>
        <w:bottom w:val="none" w:sz="0" w:space="0" w:color="auto"/>
        <w:right w:val="none" w:sz="0" w:space="0" w:color="auto"/>
      </w:divBdr>
    </w:div>
    <w:div w:id="1190945621">
      <w:bodyDiv w:val="1"/>
      <w:marLeft w:val="0"/>
      <w:marRight w:val="0"/>
      <w:marTop w:val="0"/>
      <w:marBottom w:val="0"/>
      <w:divBdr>
        <w:top w:val="none" w:sz="0" w:space="0" w:color="auto"/>
        <w:left w:val="none" w:sz="0" w:space="0" w:color="auto"/>
        <w:bottom w:val="none" w:sz="0" w:space="0" w:color="auto"/>
        <w:right w:val="none" w:sz="0" w:space="0" w:color="auto"/>
      </w:divBdr>
    </w:div>
    <w:div w:id="1204486949">
      <w:bodyDiv w:val="1"/>
      <w:marLeft w:val="0"/>
      <w:marRight w:val="0"/>
      <w:marTop w:val="0"/>
      <w:marBottom w:val="0"/>
      <w:divBdr>
        <w:top w:val="none" w:sz="0" w:space="0" w:color="auto"/>
        <w:left w:val="none" w:sz="0" w:space="0" w:color="auto"/>
        <w:bottom w:val="none" w:sz="0" w:space="0" w:color="auto"/>
        <w:right w:val="none" w:sz="0" w:space="0" w:color="auto"/>
      </w:divBdr>
    </w:div>
    <w:div w:id="1248034646">
      <w:bodyDiv w:val="1"/>
      <w:marLeft w:val="0"/>
      <w:marRight w:val="0"/>
      <w:marTop w:val="0"/>
      <w:marBottom w:val="0"/>
      <w:divBdr>
        <w:top w:val="none" w:sz="0" w:space="0" w:color="auto"/>
        <w:left w:val="none" w:sz="0" w:space="0" w:color="auto"/>
        <w:bottom w:val="none" w:sz="0" w:space="0" w:color="auto"/>
        <w:right w:val="none" w:sz="0" w:space="0" w:color="auto"/>
      </w:divBdr>
    </w:div>
    <w:div w:id="1265651596">
      <w:bodyDiv w:val="1"/>
      <w:marLeft w:val="0"/>
      <w:marRight w:val="0"/>
      <w:marTop w:val="0"/>
      <w:marBottom w:val="0"/>
      <w:divBdr>
        <w:top w:val="none" w:sz="0" w:space="0" w:color="auto"/>
        <w:left w:val="none" w:sz="0" w:space="0" w:color="auto"/>
        <w:bottom w:val="none" w:sz="0" w:space="0" w:color="auto"/>
        <w:right w:val="none" w:sz="0" w:space="0" w:color="auto"/>
      </w:divBdr>
    </w:div>
    <w:div w:id="1271351221">
      <w:bodyDiv w:val="1"/>
      <w:marLeft w:val="0"/>
      <w:marRight w:val="0"/>
      <w:marTop w:val="0"/>
      <w:marBottom w:val="0"/>
      <w:divBdr>
        <w:top w:val="none" w:sz="0" w:space="0" w:color="auto"/>
        <w:left w:val="none" w:sz="0" w:space="0" w:color="auto"/>
        <w:bottom w:val="none" w:sz="0" w:space="0" w:color="auto"/>
        <w:right w:val="none" w:sz="0" w:space="0" w:color="auto"/>
      </w:divBdr>
    </w:div>
    <w:div w:id="1309942954">
      <w:bodyDiv w:val="1"/>
      <w:marLeft w:val="0"/>
      <w:marRight w:val="0"/>
      <w:marTop w:val="0"/>
      <w:marBottom w:val="0"/>
      <w:divBdr>
        <w:top w:val="none" w:sz="0" w:space="0" w:color="auto"/>
        <w:left w:val="none" w:sz="0" w:space="0" w:color="auto"/>
        <w:bottom w:val="none" w:sz="0" w:space="0" w:color="auto"/>
        <w:right w:val="none" w:sz="0" w:space="0" w:color="auto"/>
      </w:divBdr>
    </w:div>
    <w:div w:id="1378623893">
      <w:bodyDiv w:val="1"/>
      <w:marLeft w:val="0"/>
      <w:marRight w:val="0"/>
      <w:marTop w:val="0"/>
      <w:marBottom w:val="0"/>
      <w:divBdr>
        <w:top w:val="none" w:sz="0" w:space="0" w:color="auto"/>
        <w:left w:val="none" w:sz="0" w:space="0" w:color="auto"/>
        <w:bottom w:val="none" w:sz="0" w:space="0" w:color="auto"/>
        <w:right w:val="none" w:sz="0" w:space="0" w:color="auto"/>
      </w:divBdr>
    </w:div>
    <w:div w:id="1413501646">
      <w:bodyDiv w:val="1"/>
      <w:marLeft w:val="0"/>
      <w:marRight w:val="0"/>
      <w:marTop w:val="0"/>
      <w:marBottom w:val="0"/>
      <w:divBdr>
        <w:top w:val="none" w:sz="0" w:space="0" w:color="auto"/>
        <w:left w:val="none" w:sz="0" w:space="0" w:color="auto"/>
        <w:bottom w:val="none" w:sz="0" w:space="0" w:color="auto"/>
        <w:right w:val="none" w:sz="0" w:space="0" w:color="auto"/>
      </w:divBdr>
    </w:div>
    <w:div w:id="1435053480">
      <w:bodyDiv w:val="1"/>
      <w:marLeft w:val="0"/>
      <w:marRight w:val="0"/>
      <w:marTop w:val="0"/>
      <w:marBottom w:val="0"/>
      <w:divBdr>
        <w:top w:val="none" w:sz="0" w:space="0" w:color="auto"/>
        <w:left w:val="none" w:sz="0" w:space="0" w:color="auto"/>
        <w:bottom w:val="none" w:sz="0" w:space="0" w:color="auto"/>
        <w:right w:val="none" w:sz="0" w:space="0" w:color="auto"/>
      </w:divBdr>
    </w:div>
    <w:div w:id="1619489402">
      <w:bodyDiv w:val="1"/>
      <w:marLeft w:val="0"/>
      <w:marRight w:val="0"/>
      <w:marTop w:val="0"/>
      <w:marBottom w:val="0"/>
      <w:divBdr>
        <w:top w:val="none" w:sz="0" w:space="0" w:color="auto"/>
        <w:left w:val="none" w:sz="0" w:space="0" w:color="auto"/>
        <w:bottom w:val="none" w:sz="0" w:space="0" w:color="auto"/>
        <w:right w:val="none" w:sz="0" w:space="0" w:color="auto"/>
      </w:divBdr>
    </w:div>
    <w:div w:id="1659920792">
      <w:bodyDiv w:val="1"/>
      <w:marLeft w:val="0"/>
      <w:marRight w:val="0"/>
      <w:marTop w:val="0"/>
      <w:marBottom w:val="0"/>
      <w:divBdr>
        <w:top w:val="none" w:sz="0" w:space="0" w:color="auto"/>
        <w:left w:val="none" w:sz="0" w:space="0" w:color="auto"/>
        <w:bottom w:val="none" w:sz="0" w:space="0" w:color="auto"/>
        <w:right w:val="none" w:sz="0" w:space="0" w:color="auto"/>
      </w:divBdr>
    </w:div>
    <w:div w:id="1685355497">
      <w:bodyDiv w:val="1"/>
      <w:marLeft w:val="0"/>
      <w:marRight w:val="0"/>
      <w:marTop w:val="0"/>
      <w:marBottom w:val="0"/>
      <w:divBdr>
        <w:top w:val="none" w:sz="0" w:space="0" w:color="auto"/>
        <w:left w:val="none" w:sz="0" w:space="0" w:color="auto"/>
        <w:bottom w:val="none" w:sz="0" w:space="0" w:color="auto"/>
        <w:right w:val="none" w:sz="0" w:space="0" w:color="auto"/>
      </w:divBdr>
    </w:div>
    <w:div w:id="1701082635">
      <w:bodyDiv w:val="1"/>
      <w:marLeft w:val="0"/>
      <w:marRight w:val="0"/>
      <w:marTop w:val="0"/>
      <w:marBottom w:val="0"/>
      <w:divBdr>
        <w:top w:val="none" w:sz="0" w:space="0" w:color="auto"/>
        <w:left w:val="none" w:sz="0" w:space="0" w:color="auto"/>
        <w:bottom w:val="none" w:sz="0" w:space="0" w:color="auto"/>
        <w:right w:val="none" w:sz="0" w:space="0" w:color="auto"/>
      </w:divBdr>
    </w:div>
    <w:div w:id="1762484369">
      <w:bodyDiv w:val="1"/>
      <w:marLeft w:val="0"/>
      <w:marRight w:val="0"/>
      <w:marTop w:val="0"/>
      <w:marBottom w:val="0"/>
      <w:divBdr>
        <w:top w:val="none" w:sz="0" w:space="0" w:color="auto"/>
        <w:left w:val="none" w:sz="0" w:space="0" w:color="auto"/>
        <w:bottom w:val="none" w:sz="0" w:space="0" w:color="auto"/>
        <w:right w:val="none" w:sz="0" w:space="0" w:color="auto"/>
      </w:divBdr>
    </w:div>
    <w:div w:id="1813402556">
      <w:bodyDiv w:val="1"/>
      <w:marLeft w:val="0"/>
      <w:marRight w:val="0"/>
      <w:marTop w:val="0"/>
      <w:marBottom w:val="0"/>
      <w:divBdr>
        <w:top w:val="none" w:sz="0" w:space="0" w:color="auto"/>
        <w:left w:val="none" w:sz="0" w:space="0" w:color="auto"/>
        <w:bottom w:val="none" w:sz="0" w:space="0" w:color="auto"/>
        <w:right w:val="none" w:sz="0" w:space="0" w:color="auto"/>
      </w:divBdr>
    </w:div>
    <w:div w:id="1840148692">
      <w:bodyDiv w:val="1"/>
      <w:marLeft w:val="0"/>
      <w:marRight w:val="0"/>
      <w:marTop w:val="0"/>
      <w:marBottom w:val="0"/>
      <w:divBdr>
        <w:top w:val="none" w:sz="0" w:space="0" w:color="auto"/>
        <w:left w:val="none" w:sz="0" w:space="0" w:color="auto"/>
        <w:bottom w:val="none" w:sz="0" w:space="0" w:color="auto"/>
        <w:right w:val="none" w:sz="0" w:space="0" w:color="auto"/>
      </w:divBdr>
    </w:div>
    <w:div w:id="1973976583">
      <w:bodyDiv w:val="1"/>
      <w:marLeft w:val="0"/>
      <w:marRight w:val="0"/>
      <w:marTop w:val="0"/>
      <w:marBottom w:val="0"/>
      <w:divBdr>
        <w:top w:val="none" w:sz="0" w:space="0" w:color="auto"/>
        <w:left w:val="none" w:sz="0" w:space="0" w:color="auto"/>
        <w:bottom w:val="none" w:sz="0" w:space="0" w:color="auto"/>
        <w:right w:val="none" w:sz="0" w:space="0" w:color="auto"/>
      </w:divBdr>
    </w:div>
    <w:div w:id="1987204234">
      <w:bodyDiv w:val="1"/>
      <w:marLeft w:val="0"/>
      <w:marRight w:val="0"/>
      <w:marTop w:val="0"/>
      <w:marBottom w:val="0"/>
      <w:divBdr>
        <w:top w:val="none" w:sz="0" w:space="0" w:color="auto"/>
        <w:left w:val="none" w:sz="0" w:space="0" w:color="auto"/>
        <w:bottom w:val="none" w:sz="0" w:space="0" w:color="auto"/>
        <w:right w:val="none" w:sz="0" w:space="0" w:color="auto"/>
      </w:divBdr>
    </w:div>
    <w:div w:id="209127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4</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Надоршина Татьяна Александровна</dc:creator>
  <cp:keywords/>
  <dc:description/>
  <cp:lastModifiedBy>Надоршина Татьяна Александровна</cp:lastModifiedBy>
  <cp:revision>23</cp:revision>
  <cp:lastPrinted>2019-03-25T06:43:00Z</cp:lastPrinted>
  <dcterms:created xsi:type="dcterms:W3CDTF">2018-09-20T10:10:00Z</dcterms:created>
  <dcterms:modified xsi:type="dcterms:W3CDTF">2019-03-25T07:07:00Z</dcterms:modified>
</cp:coreProperties>
</file>