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89" w:rsidRPr="00236489" w:rsidRDefault="00C4362F" w:rsidP="0023648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36489">
        <w:rPr>
          <w:rFonts w:ascii="Times New Roman" w:hAnsi="Times New Roman" w:cs="Times New Roman"/>
          <w:color w:val="7030A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36489" w:rsidRPr="00236489" w:rsidRDefault="00C4362F" w:rsidP="0023648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36489">
        <w:rPr>
          <w:rFonts w:ascii="Times New Roman" w:hAnsi="Times New Roman" w:cs="Times New Roman"/>
          <w:color w:val="7030A0"/>
          <w:sz w:val="28"/>
          <w:szCs w:val="28"/>
        </w:rPr>
        <w:t xml:space="preserve">детский сад «Чайка» </w:t>
      </w:r>
    </w:p>
    <w:p w:rsidR="00236489" w:rsidRPr="00236489" w:rsidRDefault="00C4362F" w:rsidP="0023648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36489">
        <w:rPr>
          <w:rFonts w:ascii="Times New Roman" w:hAnsi="Times New Roman" w:cs="Times New Roman"/>
          <w:color w:val="7030A0"/>
          <w:sz w:val="28"/>
          <w:szCs w:val="28"/>
        </w:rPr>
        <w:t>Нижнетуринского городского округа</w:t>
      </w: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6489" w:rsidRPr="00236489" w:rsidRDefault="00C4362F" w:rsidP="00236489">
      <w:pPr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6489">
        <w:rPr>
          <w:rFonts w:ascii="Times New Roman" w:hAnsi="Times New Roman" w:cs="Times New Roman"/>
          <w:b/>
          <w:color w:val="7030A0"/>
          <w:sz w:val="48"/>
          <w:szCs w:val="28"/>
        </w:rPr>
        <w:t xml:space="preserve">ПРАВИЛА И ЭТИЧЕСКИЕ НОРМЫ РАЗМЕЩЕНИЯ МАТЕРИАЛОВ </w:t>
      </w:r>
      <w:r w:rsidRPr="00236489">
        <w:rPr>
          <w:rFonts w:ascii="Times New Roman" w:hAnsi="Times New Roman" w:cs="Times New Roman"/>
          <w:b/>
          <w:color w:val="7030A0"/>
          <w:sz w:val="48"/>
          <w:szCs w:val="28"/>
        </w:rPr>
        <w:br/>
        <w:t>НА САЙТЕ ДОУ</w:t>
      </w:r>
      <w:r w:rsidRPr="00236489">
        <w:rPr>
          <w:rFonts w:ascii="Times New Roman" w:hAnsi="Times New Roman" w:cs="Times New Roman"/>
          <w:b/>
          <w:color w:val="7030A0"/>
          <w:sz w:val="48"/>
          <w:szCs w:val="28"/>
        </w:rPr>
        <w:br/>
      </w:r>
      <w:r w:rsidRPr="00236489">
        <w:rPr>
          <w:rFonts w:ascii="Times New Roman" w:hAnsi="Times New Roman" w:cs="Times New Roman"/>
          <w:i/>
          <w:color w:val="7030A0"/>
          <w:sz w:val="28"/>
          <w:szCs w:val="28"/>
        </w:rPr>
        <w:t>Консультация для педагогов</w:t>
      </w: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6"/>
        <w:gridCol w:w="4719"/>
      </w:tblGrid>
      <w:tr w:rsidR="00236489" w:rsidRPr="00236489" w:rsidTr="00236489">
        <w:tc>
          <w:tcPr>
            <w:tcW w:w="4785" w:type="dxa"/>
          </w:tcPr>
          <w:p w:rsidR="00236489" w:rsidRPr="00236489" w:rsidRDefault="00A86836" w:rsidP="0023648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786" w:type="dxa"/>
          </w:tcPr>
          <w:p w:rsidR="00236489" w:rsidRPr="00236489" w:rsidRDefault="00C4362F" w:rsidP="002364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3648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Подготовила:  </w:t>
            </w:r>
          </w:p>
          <w:p w:rsidR="00236489" w:rsidRPr="00236489" w:rsidRDefault="00C4362F" w:rsidP="002364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3648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Рубан Л.А., воспитатель </w:t>
            </w:r>
          </w:p>
          <w:p w:rsidR="00236489" w:rsidRPr="00236489" w:rsidRDefault="00C4362F" w:rsidP="002364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3648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I квалификационной категории</w:t>
            </w:r>
          </w:p>
          <w:p w:rsidR="00236489" w:rsidRPr="00236489" w:rsidRDefault="00A86836" w:rsidP="0023648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</w:tbl>
    <w:p w:rsidR="00236489" w:rsidRPr="00236489" w:rsidRDefault="00A86836" w:rsidP="00236489">
      <w:pPr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236489" w:rsidRPr="00236489" w:rsidRDefault="00A86836" w:rsidP="00236489">
      <w:pPr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236489" w:rsidRPr="00236489" w:rsidRDefault="00A86836" w:rsidP="00236489">
      <w:pPr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236489" w:rsidRPr="00236489" w:rsidRDefault="00C4362F" w:rsidP="0023648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  <w:sectPr w:rsidR="00236489" w:rsidRPr="00236489" w:rsidSect="00A86836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thickThinSmallGap" w:sz="24" w:space="24" w:color="002060"/>
            <w:left w:val="thickThinSmallGap" w:sz="24" w:space="24" w:color="002060"/>
            <w:bottom w:val="thinThickSmallGap" w:sz="24" w:space="24" w:color="002060"/>
            <w:right w:val="thinThickSmallGap" w:sz="24" w:space="24" w:color="002060"/>
          </w:pgBorders>
          <w:pgNumType w:start="1" w:chapStyle="1" w:chapSep="emDash"/>
          <w:cols w:space="708"/>
          <w:docGrid w:linePitch="360"/>
        </w:sectPr>
      </w:pPr>
      <w:r>
        <w:rPr>
          <w:rFonts w:ascii="Times New Roman" w:hAnsi="Times New Roman" w:cs="Times New Roman"/>
          <w:color w:val="7030A0"/>
          <w:sz w:val="28"/>
          <w:szCs w:val="28"/>
        </w:rPr>
        <w:t>2018 г.</w:t>
      </w:r>
      <w:bookmarkStart w:id="0" w:name="_GoBack"/>
      <w:bookmarkEnd w:id="0"/>
    </w:p>
    <w:p w:rsidR="00330DEC" w:rsidRPr="00236489" w:rsidRDefault="00A86836" w:rsidP="00236489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330DEC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5A">
        <w:rPr>
          <w:rFonts w:ascii="Times New Roman" w:hAnsi="Times New Roman" w:cs="Times New Roman"/>
          <w:sz w:val="28"/>
          <w:szCs w:val="28"/>
        </w:rPr>
        <w:t xml:space="preserve">Процесс информатизации в учреждениях дошкольного образования обусловлен требованием современного развивающегося общества. В последнее время роль информационно-коммуникативных технологий  стала занимать ведущее место. </w:t>
      </w:r>
    </w:p>
    <w:p w:rsidR="00330DEC" w:rsidRPr="00C9305A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5A">
        <w:rPr>
          <w:rFonts w:ascii="Times New Roman" w:hAnsi="Times New Roman" w:cs="Times New Roman"/>
          <w:sz w:val="28"/>
          <w:szCs w:val="28"/>
        </w:rPr>
        <w:t>Если совсем недавно компьютер использовали только для поиска информации и демонстрации презентаций к образовательной деятельности, то сейчас ИКТ становится неотъемлемой частью работы с родителями (законными представителями).</w:t>
      </w:r>
    </w:p>
    <w:p w:rsidR="00330DEC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5A">
        <w:rPr>
          <w:rFonts w:ascii="Times New Roman" w:hAnsi="Times New Roman" w:cs="Times New Roman"/>
          <w:sz w:val="28"/>
          <w:szCs w:val="28"/>
        </w:rPr>
        <w:t>Современные технологии позволяют нам познакомиться с человеком или организацией, составить о них первое впечатление без личной встречи. Визитной карточкой в данном случае выступает сайт в интернете. На нем можно найти информацию о том, для чего организация создана, как она работает, кто ею руководит.</w:t>
      </w:r>
    </w:p>
    <w:p w:rsidR="00330DEC" w:rsidRPr="00406C48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C4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 «Об образовании в Российской Федерации» детский сад должен обеспечить открытость и доступность о себе, реализуемых программах, оказываемых услугах и прочее. </w:t>
      </w:r>
    </w:p>
    <w:p w:rsidR="00330DEC" w:rsidRPr="00406C48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C48">
        <w:rPr>
          <w:rFonts w:ascii="Times New Roman" w:hAnsi="Times New Roman" w:cs="Times New Roman"/>
          <w:sz w:val="28"/>
          <w:szCs w:val="28"/>
        </w:rPr>
        <w:t>Содержание официального сайта ДОУ формируется на основе информации, предоставляемой участниками образовательных отношений ДОУ. На сайте размещается не только традиционная информация (адрес, основные результаты работы, сведения о педагогическом коллективе, Устав и т.п.), но и данные по наиболее важным направлениям работы.</w:t>
      </w:r>
    </w:p>
    <w:p w:rsidR="00330DEC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C48">
        <w:rPr>
          <w:rFonts w:ascii="Times New Roman" w:hAnsi="Times New Roman" w:cs="Times New Roman"/>
          <w:sz w:val="28"/>
          <w:szCs w:val="28"/>
        </w:rPr>
        <w:t>Наличие или отсутствие на сайте информации для родителей и других представителей общественности может служить реальным индикатором того, насколько ДОУ ориентировано на внешнее партнёрство и поддержку общественного участия в своей деятельности.</w:t>
      </w:r>
    </w:p>
    <w:p w:rsidR="00330DEC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все знаете, что в </w:t>
      </w:r>
      <w:r w:rsidRPr="00C9305A">
        <w:rPr>
          <w:rFonts w:ascii="Times New Roman" w:hAnsi="Times New Roman" w:cs="Times New Roman"/>
          <w:sz w:val="28"/>
          <w:szCs w:val="28"/>
        </w:rPr>
        <w:t xml:space="preserve"> нашем дошкольном учреждении функциони</w:t>
      </w:r>
      <w:r>
        <w:rPr>
          <w:rFonts w:ascii="Times New Roman" w:hAnsi="Times New Roman" w:cs="Times New Roman"/>
          <w:sz w:val="28"/>
          <w:szCs w:val="28"/>
        </w:rPr>
        <w:t xml:space="preserve">рует официальный сайт </w:t>
      </w:r>
      <w:r w:rsidRPr="00C9305A">
        <w:rPr>
          <w:rFonts w:ascii="Times New Roman" w:hAnsi="Times New Roman" w:cs="Times New Roman"/>
          <w:sz w:val="28"/>
          <w:szCs w:val="28"/>
        </w:rPr>
        <w:t>в се</w:t>
      </w:r>
      <w:r>
        <w:rPr>
          <w:rFonts w:ascii="Times New Roman" w:hAnsi="Times New Roman" w:cs="Times New Roman"/>
          <w:sz w:val="28"/>
          <w:szCs w:val="28"/>
        </w:rPr>
        <w:t xml:space="preserve">ти Интернет </w:t>
      </w:r>
      <w:r w:rsidRPr="00406C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406C48">
        <w:rPr>
          <w:rFonts w:ascii="Times New Roman" w:hAnsi="Times New Roman" w:cs="Times New Roman"/>
          <w:sz w:val="28"/>
          <w:szCs w:val="28"/>
        </w:rPr>
        <w:t>http://chayka-ntu.tvoysadik.ru)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1FF4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081FF4">
        <w:rPr>
          <w:rFonts w:ascii="Times New Roman" w:hAnsi="Times New Roman" w:cs="Times New Roman"/>
          <w:sz w:val="28"/>
          <w:szCs w:val="28"/>
        </w:rPr>
        <w:t xml:space="preserve"> на основании требований к структуре официального сайта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1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DEC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F0EDD">
        <w:rPr>
          <w:rFonts w:ascii="Times New Roman" w:hAnsi="Times New Roman" w:cs="Times New Roman"/>
          <w:sz w:val="28"/>
          <w:szCs w:val="28"/>
        </w:rPr>
        <w:t>сайте представлен информационный портрет детского сада. Сайт мобильный, постоянно пополняющийся и об</w:t>
      </w:r>
      <w:r>
        <w:rPr>
          <w:rFonts w:ascii="Times New Roman" w:hAnsi="Times New Roman" w:cs="Times New Roman"/>
          <w:sz w:val="28"/>
          <w:szCs w:val="28"/>
        </w:rPr>
        <w:t xml:space="preserve">новляющийся. </w:t>
      </w:r>
      <w:r w:rsidRPr="004F0EDD">
        <w:rPr>
          <w:rFonts w:ascii="Times New Roman" w:hAnsi="Times New Roman" w:cs="Times New Roman"/>
          <w:sz w:val="28"/>
          <w:szCs w:val="28"/>
        </w:rPr>
        <w:t>На нем располагается вся необходимая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EDD">
        <w:rPr>
          <w:rFonts w:ascii="Times New Roman" w:hAnsi="Times New Roman" w:cs="Times New Roman"/>
          <w:sz w:val="28"/>
          <w:szCs w:val="28"/>
        </w:rPr>
        <w:t>позволяющая представителям общественности, сотрудникам вышестоящих организаций, родителям получить полную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ДОУ. </w:t>
      </w:r>
    </w:p>
    <w:p w:rsidR="00185821" w:rsidRDefault="00185821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0DEC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21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0DEC">
        <w:rPr>
          <w:rFonts w:ascii="Times New Roman" w:hAnsi="Times New Roman" w:cs="Times New Roman"/>
          <w:sz w:val="28"/>
          <w:szCs w:val="28"/>
        </w:rPr>
        <w:t xml:space="preserve">формирование единого сообщества: родители – дети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0DEC">
        <w:rPr>
          <w:rFonts w:ascii="Times New Roman" w:hAnsi="Times New Roman" w:cs="Times New Roman"/>
          <w:sz w:val="28"/>
          <w:szCs w:val="28"/>
        </w:rPr>
        <w:t xml:space="preserve"> педагоги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DEC" w:rsidRPr="00185821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821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330DEC" w:rsidRPr="00330DEC" w:rsidRDefault="00C4362F" w:rsidP="00330D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>выполнение федерального закона «Об образовании»,</w:t>
      </w:r>
    </w:p>
    <w:p w:rsidR="00330DEC" w:rsidRPr="00330DEC" w:rsidRDefault="00C4362F" w:rsidP="00330D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 xml:space="preserve">создание условий для творческой реализации педагогов ДОУ; </w:t>
      </w:r>
    </w:p>
    <w:p w:rsidR="00330DEC" w:rsidRPr="00330DEC" w:rsidRDefault="00C4362F" w:rsidP="00330D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 xml:space="preserve">популяризация достижений воспитанников и педагогов ДОУ; </w:t>
      </w:r>
    </w:p>
    <w:p w:rsidR="00330DEC" w:rsidRPr="00330DEC" w:rsidRDefault="00C4362F" w:rsidP="00330D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 xml:space="preserve">формирование информационной компетенции. </w:t>
      </w:r>
    </w:p>
    <w:p w:rsidR="00330DEC" w:rsidRPr="00BA171B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ДОУ </w:t>
      </w:r>
      <w:r w:rsidRPr="00BA171B">
        <w:rPr>
          <w:rFonts w:ascii="Times New Roman" w:hAnsi="Times New Roman" w:cs="Times New Roman"/>
          <w:sz w:val="28"/>
          <w:szCs w:val="28"/>
        </w:rPr>
        <w:t>педагоги имеют возможность предста</w:t>
      </w:r>
      <w:r>
        <w:rPr>
          <w:rFonts w:ascii="Times New Roman" w:hAnsi="Times New Roman" w:cs="Times New Roman"/>
          <w:sz w:val="28"/>
          <w:szCs w:val="28"/>
        </w:rPr>
        <w:t>вля</w:t>
      </w:r>
      <w:r w:rsidRPr="00BA171B">
        <w:rPr>
          <w:rFonts w:ascii="Times New Roman" w:hAnsi="Times New Roman" w:cs="Times New Roman"/>
          <w:sz w:val="28"/>
          <w:szCs w:val="28"/>
        </w:rPr>
        <w:t>ть свои педагогические находки и опубликовывать плоды своего творчества.</w:t>
      </w:r>
    </w:p>
    <w:p w:rsidR="00330DEC" w:rsidRPr="00516F98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71B">
        <w:rPr>
          <w:rFonts w:ascii="Times New Roman" w:hAnsi="Times New Roman" w:cs="Times New Roman"/>
          <w:sz w:val="28"/>
          <w:szCs w:val="28"/>
        </w:rPr>
        <w:lastRenderedPageBreak/>
        <w:t>Кроме этого, сайт детского сада является для родителей источником информации учебного, методического и воспитательного характера. Со страниц сайта родители могут получить информацию о методах сбережения здоровья детей, их безопасности, правилах поведения ребенка в семье и обществе, полезные советы по обу</w:t>
      </w:r>
      <w:r>
        <w:rPr>
          <w:rFonts w:ascii="Times New Roman" w:hAnsi="Times New Roman" w:cs="Times New Roman"/>
          <w:sz w:val="28"/>
          <w:szCs w:val="28"/>
        </w:rPr>
        <w:t>чению и воспитанию дошкольников.</w:t>
      </w:r>
    </w:p>
    <w:p w:rsidR="00330DEC" w:rsidRDefault="00C4362F" w:rsidP="00330DEC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на сайте должна </w:t>
      </w:r>
      <w:r w:rsidRPr="00516F98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азмещаться </w:t>
      </w:r>
      <w:r w:rsidRPr="00516F98">
        <w:rPr>
          <w:rFonts w:ascii="Times New Roman" w:eastAsia="Times New Roman" w:hAnsi="Times New Roman" w:cs="Times New Roman"/>
          <w:sz w:val="28"/>
          <w:szCs w:val="28"/>
        </w:rPr>
        <w:t>в текстовой и (или) табличной фор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мах.  А </w:t>
      </w:r>
      <w:r w:rsidRPr="00516F98">
        <w:rPr>
          <w:rFonts w:ascii="Times New Roman" w:eastAsia="Times New Roman" w:hAnsi="Times New Roman" w:cs="Times New Roman"/>
          <w:sz w:val="28"/>
          <w:szCs w:val="28"/>
        </w:rPr>
        <w:t>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330DEC" w:rsidRDefault="00C4362F" w:rsidP="00330DE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Файлы документов представляют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</w:t>
      </w:r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форматах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30DEC" w:rsidRPr="001915E9" w:rsidRDefault="00C4362F" w:rsidP="00330DEC">
      <w:pPr>
        <w:numPr>
          <w:ilvl w:val="0"/>
          <w:numId w:val="2"/>
        </w:numPr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Portable Document Files (.</w:t>
      </w:r>
      <w:proofErr w:type="spellStart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proofErr w:type="spellEnd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), </w:t>
      </w:r>
    </w:p>
    <w:p w:rsidR="00330DEC" w:rsidRPr="00330DEC" w:rsidRDefault="00C4362F" w:rsidP="00330DEC">
      <w:pPr>
        <w:numPr>
          <w:ilvl w:val="0"/>
          <w:numId w:val="2"/>
        </w:numPr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 Word / Microsoft Excel (.doc, .</w:t>
      </w:r>
      <w:proofErr w:type="spellStart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docx</w:t>
      </w:r>
      <w:proofErr w:type="spellEnd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.</w:t>
      </w:r>
      <w:proofErr w:type="spellStart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xls</w:t>
      </w:r>
      <w:proofErr w:type="spellEnd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.</w:t>
      </w:r>
      <w:proofErr w:type="spellStart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xlsx</w:t>
      </w:r>
      <w:proofErr w:type="spellEnd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), </w:t>
      </w:r>
    </w:p>
    <w:p w:rsidR="00330DEC" w:rsidRPr="00330DEC" w:rsidRDefault="00C4362F" w:rsidP="00330DEC">
      <w:pPr>
        <w:numPr>
          <w:ilvl w:val="0"/>
          <w:numId w:val="2"/>
        </w:num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Open Document Files (.</w:t>
      </w:r>
      <w:proofErr w:type="spellStart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odt</w:t>
      </w:r>
      <w:proofErr w:type="spellEnd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.</w:t>
      </w:r>
      <w:proofErr w:type="spellStart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ods</w:t>
      </w:r>
      <w:proofErr w:type="spellEnd"/>
      <w:r w:rsidRPr="00191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</w:p>
    <w:p w:rsidR="00330DEC" w:rsidRPr="00330DEC" w:rsidRDefault="00C4362F" w:rsidP="0023648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 xml:space="preserve">Максимальный размер не должен превышать 15 </w:t>
      </w:r>
      <w:proofErr w:type="spellStart"/>
      <w:r w:rsidRPr="00330DEC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330D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Если размер </w:t>
      </w:r>
      <w:r w:rsidRPr="001915E9">
        <w:rPr>
          <w:rFonts w:ascii="Times New Roman" w:hAnsi="Times New Roman" w:cs="Times New Roman"/>
          <w:sz w:val="28"/>
          <w:szCs w:val="28"/>
        </w:rPr>
        <w:t>файла превышает максимальное значение, то его необходимо разделить на несколько частей (файлов), размер которых не должен превышать максимальное значе</w:t>
      </w:r>
      <w:r>
        <w:rPr>
          <w:rFonts w:ascii="Times New Roman" w:hAnsi="Times New Roman" w:cs="Times New Roman"/>
          <w:sz w:val="28"/>
          <w:szCs w:val="28"/>
        </w:rPr>
        <w:t xml:space="preserve">ние. </w:t>
      </w:r>
      <w:r w:rsidRPr="00330DEC">
        <w:rPr>
          <w:rFonts w:ascii="Times New Roman" w:hAnsi="Times New Roman" w:cs="Times New Roman"/>
          <w:sz w:val="28"/>
          <w:szCs w:val="28"/>
        </w:rPr>
        <w:t xml:space="preserve">Сканирование документа должно быть выполнено с разрешением не менее 75 </w:t>
      </w:r>
      <w:proofErr w:type="spellStart"/>
      <w:r w:rsidRPr="00330DE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330DEC">
        <w:rPr>
          <w:rFonts w:ascii="Times New Roman" w:hAnsi="Times New Roman" w:cs="Times New Roman"/>
          <w:sz w:val="28"/>
          <w:szCs w:val="28"/>
        </w:rPr>
        <w:t xml:space="preserve">; </w:t>
      </w:r>
      <w:r w:rsidRPr="001915E9">
        <w:rPr>
          <w:rFonts w:ascii="Times New Roman" w:hAnsi="Times New Roman" w:cs="Times New Roman"/>
          <w:sz w:val="28"/>
          <w:szCs w:val="28"/>
        </w:rPr>
        <w:t>отсканированный текст в электронной копии документа должен быть читаемым.</w:t>
      </w:r>
    </w:p>
    <w:p w:rsidR="00236489" w:rsidRPr="00236489" w:rsidRDefault="00C4362F" w:rsidP="002364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36489">
        <w:rPr>
          <w:rFonts w:ascii="Times New Roman" w:eastAsia="Times New Roman" w:hAnsi="Times New Roman" w:cs="Times New Roman"/>
          <w:sz w:val="28"/>
          <w:szCs w:val="28"/>
        </w:rPr>
        <w:t>Фотографии лучше размещать в сжатом формате, т.е. заархивировать. Хорошо, если фотоотчёт будет сопровождаться небольшой аннотацией, так ответственному за размещение публикации на сайте будет легче определить, в какой раздел и к какой рубрике отнести публикуемый материал.</w:t>
      </w:r>
    </w:p>
    <w:p w:rsidR="00330DEC" w:rsidRDefault="00C4362F" w:rsidP="0033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E9">
        <w:rPr>
          <w:rFonts w:ascii="Times New Roman" w:eastAsia="Times New Roman" w:hAnsi="Times New Roman" w:cs="Times New Roman"/>
          <w:sz w:val="28"/>
          <w:szCs w:val="28"/>
        </w:rPr>
        <w:t>Хочется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напомнить </w:t>
      </w:r>
      <w:r w:rsidRPr="001915E9">
        <w:rPr>
          <w:rFonts w:ascii="Times New Roman" w:eastAsia="Times New Roman" w:hAnsi="Times New Roman" w:cs="Times New Roman"/>
          <w:sz w:val="28"/>
          <w:szCs w:val="28"/>
        </w:rPr>
        <w:t>этические нормы для материалов, предоставляемых к публикации на сайте.</w:t>
      </w:r>
    </w:p>
    <w:p w:rsidR="00330DEC" w:rsidRPr="00185821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821">
        <w:rPr>
          <w:rFonts w:ascii="Times New Roman" w:eastAsia="Times New Roman" w:hAnsi="Times New Roman" w:cs="Times New Roman"/>
          <w:i/>
          <w:sz w:val="28"/>
          <w:szCs w:val="28"/>
        </w:rPr>
        <w:t>Информация, размещаемая на сайте ДОУ, не должна:</w:t>
      </w:r>
    </w:p>
    <w:p w:rsidR="00330DEC" w:rsidRPr="00330DEC" w:rsidRDefault="00C4362F" w:rsidP="00330DE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нарушать авторское право;</w:t>
      </w:r>
    </w:p>
    <w:p w:rsidR="00330DEC" w:rsidRPr="00330DEC" w:rsidRDefault="00C4362F" w:rsidP="00330DE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содержать ненормативную лексику;</w:t>
      </w:r>
    </w:p>
    <w:p w:rsidR="00330DEC" w:rsidRPr="00330DEC" w:rsidRDefault="00C4362F" w:rsidP="00330DE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унижать честь, достоинство и деловую репутацию физических и юридических лиц;</w:t>
      </w:r>
    </w:p>
    <w:p w:rsidR="00330DEC" w:rsidRPr="00330DEC" w:rsidRDefault="00C4362F" w:rsidP="00330DE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содержать государственную, коммерческую или иную, специально охраняемую тайну;</w:t>
      </w:r>
    </w:p>
    <w:p w:rsidR="00330DEC" w:rsidRPr="00330DEC" w:rsidRDefault="00C4362F" w:rsidP="00330DE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содержать материалы, запрещенные к опубликованию законодательством Российской Федерации;</w:t>
      </w:r>
    </w:p>
    <w:p w:rsidR="00330DEC" w:rsidRPr="00330DEC" w:rsidRDefault="00C4362F" w:rsidP="00330DE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противоречить профессиональной этике в педагогической деятельности</w:t>
      </w:r>
    </w:p>
    <w:p w:rsidR="00185821" w:rsidRDefault="00185821" w:rsidP="0033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DEC" w:rsidRPr="00185821" w:rsidRDefault="00C4362F" w:rsidP="0033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5821">
        <w:rPr>
          <w:rFonts w:ascii="Times New Roman" w:eastAsia="Times New Roman" w:hAnsi="Times New Roman" w:cs="Times New Roman"/>
          <w:i/>
          <w:sz w:val="28"/>
          <w:szCs w:val="28"/>
        </w:rPr>
        <w:t xml:space="preserve">Также к размещению на официальном сайте ДОУ </w:t>
      </w:r>
      <w:proofErr w:type="gramStart"/>
      <w:r w:rsidRPr="00185821">
        <w:rPr>
          <w:rFonts w:ascii="Times New Roman" w:eastAsia="Times New Roman" w:hAnsi="Times New Roman" w:cs="Times New Roman"/>
          <w:i/>
          <w:sz w:val="28"/>
          <w:szCs w:val="28"/>
        </w:rPr>
        <w:t>запрещены</w:t>
      </w:r>
      <w:proofErr w:type="gramEnd"/>
      <w:r w:rsidRPr="0018582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330DEC" w:rsidRPr="00330DEC" w:rsidRDefault="00C4362F" w:rsidP="00330DEC">
      <w:pPr>
        <w:numPr>
          <w:ilvl w:val="0"/>
          <w:numId w:val="4"/>
        </w:numPr>
        <w:tabs>
          <w:tab w:val="left" w:pos="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330DEC" w:rsidRPr="00330DEC" w:rsidRDefault="00C4362F" w:rsidP="00330DEC">
      <w:pPr>
        <w:numPr>
          <w:ilvl w:val="0"/>
          <w:numId w:val="4"/>
        </w:numPr>
        <w:tabs>
          <w:tab w:val="left" w:pos="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информационные материалы, задевающие честь, достоинство или деловую репутацию граждан, организаций, учреждений;</w:t>
      </w:r>
    </w:p>
    <w:p w:rsidR="00330DEC" w:rsidRPr="00330DEC" w:rsidRDefault="00C4362F" w:rsidP="00330DEC">
      <w:pPr>
        <w:numPr>
          <w:ilvl w:val="0"/>
          <w:numId w:val="4"/>
        </w:numPr>
        <w:tabs>
          <w:tab w:val="left" w:pos="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330DEC" w:rsidRPr="00330DEC" w:rsidRDefault="00C4362F" w:rsidP="00330DEC">
      <w:pPr>
        <w:numPr>
          <w:ilvl w:val="0"/>
          <w:numId w:val="4"/>
        </w:numPr>
        <w:tabs>
          <w:tab w:val="left" w:pos="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любые виды рекламы, целью которой является получение прибыли другими организациями и учреждениями;</w:t>
      </w:r>
    </w:p>
    <w:p w:rsidR="00330DEC" w:rsidRPr="00330DEC" w:rsidRDefault="00C4362F" w:rsidP="00330DEC">
      <w:pPr>
        <w:numPr>
          <w:ilvl w:val="0"/>
          <w:numId w:val="4"/>
        </w:numP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DEC">
        <w:rPr>
          <w:rFonts w:ascii="Times New Roman" w:eastAsia="Times New Roman" w:hAnsi="Times New Roman" w:cs="Times New Roman"/>
          <w:sz w:val="28"/>
          <w:szCs w:val="28"/>
        </w:rPr>
        <w:t>иные информационные материалы, запрещенные к опубликованию законодательством Российской Федерации.</w:t>
      </w:r>
    </w:p>
    <w:p w:rsidR="00185821" w:rsidRDefault="00185821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DEC" w:rsidRPr="00185821" w:rsidRDefault="00C4362F" w:rsidP="00330D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821">
        <w:rPr>
          <w:rFonts w:ascii="Times New Roman" w:hAnsi="Times New Roman" w:cs="Times New Roman"/>
          <w:i/>
          <w:sz w:val="28"/>
          <w:szCs w:val="28"/>
        </w:rPr>
        <w:t>Преимущества  наличия сайта в дошкольном учреждении:</w:t>
      </w:r>
    </w:p>
    <w:p w:rsidR="00330DEC" w:rsidRDefault="00C4362F" w:rsidP="00B840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Pr="00330DEC">
        <w:rPr>
          <w:rFonts w:ascii="Times New Roman" w:hAnsi="Times New Roman" w:cs="Times New Roman"/>
          <w:sz w:val="28"/>
          <w:szCs w:val="28"/>
        </w:rPr>
        <w:t>для посетителей круглосуточно - удобство получения информации.</w:t>
      </w:r>
    </w:p>
    <w:p w:rsidR="00330DEC" w:rsidRDefault="00C4362F" w:rsidP="00B840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>информирование посетителей существенно дешевле рассылки бумажной корреспонденции.</w:t>
      </w:r>
    </w:p>
    <w:p w:rsidR="00330DEC" w:rsidRDefault="00C4362F" w:rsidP="00B840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 xml:space="preserve">если идти в ногу со временем, то надо делиться своим профессиональным мастерством, передавать опыт работы  за пределы своего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30DEC">
        <w:rPr>
          <w:rFonts w:ascii="Times New Roman" w:hAnsi="Times New Roman" w:cs="Times New Roman"/>
          <w:sz w:val="28"/>
          <w:szCs w:val="28"/>
        </w:rPr>
        <w:t>.</w:t>
      </w:r>
    </w:p>
    <w:p w:rsidR="00330DEC" w:rsidRDefault="00C4362F" w:rsidP="00B840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>является очень хорошей рекламой учреждения.</w:t>
      </w:r>
    </w:p>
    <w:p w:rsidR="00185821" w:rsidRDefault="00185821" w:rsidP="00B8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88" w:rsidRPr="00330DEC" w:rsidRDefault="00C4362F" w:rsidP="00B8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088">
        <w:rPr>
          <w:rFonts w:ascii="Times New Roman" w:hAnsi="Times New Roman" w:cs="Times New Roman"/>
          <w:sz w:val="28"/>
          <w:szCs w:val="28"/>
        </w:rPr>
        <w:t>На сегодняшний день информационная открытость в ДОУ – это организационно - правовой режим деятельности учреждения, обеспечивающий возможность получать необходимый и достаточный объем информации всем участникам социального взаимодействия.</w:t>
      </w:r>
    </w:p>
    <w:p w:rsidR="00AE7FA3" w:rsidRPr="00330DEC" w:rsidRDefault="00C4362F" w:rsidP="00330DEC">
      <w:pPr>
        <w:spacing w:after="0" w:line="240" w:lineRule="auto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530985" y="4220845"/>
            <wp:positionH relativeFrom="margin">
              <wp:align>center</wp:align>
            </wp:positionH>
            <wp:positionV relativeFrom="margin">
              <wp:align>bottom</wp:align>
            </wp:positionV>
            <wp:extent cx="5438775" cy="30397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88"/>
                    <a:stretch/>
                  </pic:blipFill>
                  <pic:spPr bwMode="auto">
                    <a:xfrm>
                      <a:off x="0" y="0"/>
                      <a:ext cx="5448847" cy="30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7FA3" w:rsidRPr="00330DEC" w:rsidSect="00E64A7F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36" w:rsidRDefault="00A86836" w:rsidP="00A86836">
      <w:pPr>
        <w:spacing w:after="0" w:line="240" w:lineRule="auto"/>
      </w:pPr>
      <w:r>
        <w:separator/>
      </w:r>
    </w:p>
  </w:endnote>
  <w:endnote w:type="continuationSeparator" w:id="0">
    <w:p w:rsidR="00A86836" w:rsidRDefault="00A86836" w:rsidP="00A8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482793"/>
      <w:docPartObj>
        <w:docPartGallery w:val="Page Numbers (Bottom of Page)"/>
        <w:docPartUnique/>
      </w:docPartObj>
    </w:sdtPr>
    <w:sdtContent>
      <w:p w:rsidR="00A86836" w:rsidRDefault="00A868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6836" w:rsidRDefault="00A868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36" w:rsidRDefault="00A86836" w:rsidP="00A86836">
      <w:pPr>
        <w:spacing w:after="0" w:line="240" w:lineRule="auto"/>
      </w:pPr>
      <w:r>
        <w:separator/>
      </w:r>
    </w:p>
  </w:footnote>
  <w:footnote w:type="continuationSeparator" w:id="0">
    <w:p w:rsidR="00A86836" w:rsidRDefault="00A86836" w:rsidP="00A8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3B9"/>
    <w:multiLevelType w:val="multilevel"/>
    <w:tmpl w:val="BC6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362F"/>
    <w:rsid w:val="00185821"/>
    <w:rsid w:val="00A86836"/>
    <w:rsid w:val="00C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836"/>
  </w:style>
  <w:style w:type="paragraph" w:styleId="a5">
    <w:name w:val="footer"/>
    <w:basedOn w:val="a"/>
    <w:link w:val="a6"/>
    <w:uiPriority w:val="99"/>
    <w:unhideWhenUsed/>
    <w:rsid w:val="00A8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D1C4-22A9-4413-BBD6-8B019C36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3</cp:revision>
  <dcterms:created xsi:type="dcterms:W3CDTF">2018-09-19T17:39:00Z</dcterms:created>
  <dcterms:modified xsi:type="dcterms:W3CDTF">2019-02-18T09:42:00Z</dcterms:modified>
</cp:coreProperties>
</file>